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飞利浦DSA维保服务项目</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hint="eastAsia" w:ascii="宋体" w:hAnsi="宋体"/>
          <w:bCs/>
          <w:sz w:val="36"/>
          <w:szCs w:val="36"/>
        </w:rPr>
        <w:t xml:space="preserve">JSZC-320400-CTZB-G2026-0047</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常州市第二人民医院</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4"/>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sz w:val="32"/>
          <w:szCs w:val="32"/>
        </w:rPr>
        <w:t xml:space="preserve">第三章   资</w:t>
      </w:r>
      <w:bookmarkStart w:id="1" w:name="_Hlt100754117"/>
      <w:r>
        <w:rPr>
          <w:rStyle w:val="1147"/>
          <w:sz w:val="32"/>
          <w:szCs w:val="32"/>
        </w:rPr>
        <w:t xml:space="preserve">格</w:t>
      </w:r>
      <w:bookmarkEnd w:id="1"/>
      <w:r>
        <w:rPr>
          <w:rStyle w:val="1147"/>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sz w:val="32"/>
          <w:szCs w:val="32"/>
        </w:rPr>
        <w:t xml:space="preserve">第五章   采购</w:t>
      </w:r>
      <w:bookmarkStart w:id="2" w:name="_Hlt100754102"/>
      <w:r/>
      <w:bookmarkStart w:id="3" w:name="_Hlt100754103"/>
      <w:r>
        <w:rPr>
          <w:rStyle w:val="1147"/>
          <w:sz w:val="32"/>
          <w:szCs w:val="32"/>
        </w:rPr>
        <w:t xml:space="preserve">需</w:t>
      </w:r>
      <w:bookmarkEnd w:id="2"/>
      <w:r/>
      <w:bookmarkEnd w:id="3"/>
      <w:r>
        <w:rPr>
          <w:rStyle w:val="1147"/>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color w:val="000000"/>
          <w:sz w:val="32"/>
          <w:szCs w:val="32"/>
          <w:highlight w:val="none"/>
          <w:lang w:val="en-US" w:eastAsia="zh-CN"/>
        </w:rPr>
        <w:t xml:space="preserve">常州市第二人民医院</w:t>
      </w:r>
      <w:r>
        <w:rPr>
          <w:rFonts w:hint="eastAsia" w:ascii="仿宋" w:hAnsi="仿宋" w:eastAsia="仿宋" w:cs="Times New Roman"/>
          <w:color w:val="000000"/>
          <w:sz w:val="32"/>
          <w:szCs w:val="32"/>
          <w:highlight w:val="none"/>
          <w:lang w:eastAsia="zh-CN"/>
        </w:rPr>
        <w:t xml:space="preserve">飞利浦DSA维保服务</w:t>
      </w:r>
      <w:r>
        <w:rPr>
          <w:rFonts w:hint="eastAsia" w:ascii="仿宋" w:hAnsi="仿宋" w:eastAsia="仿宋" w:cs="Times New Roman"/>
          <w:color w:val="000000"/>
          <w:sz w:val="32"/>
          <w:szCs w:val="32"/>
          <w:highlight w:val="none"/>
        </w:rPr>
        <w:t xml:space="preserve">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06</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02</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4"/>
        <w:ind w:firstLine="643"/>
        <w:jc w:val="left"/>
        <w:spacing w:before="240" w:line="360" w:lineRule="auto"/>
        <w:rPr>
          <w:rFonts w:ascii="仿宋" w:hAnsi="仿宋" w:eastAsia="仿宋"/>
          <w:sz w:val="32"/>
          <w:szCs w:val="32"/>
        </w:rPr>
      </w:pPr>
      <w:r/>
      <w:bookmarkStart w:id="5" w:name="_Toc35393621"/>
      <w:r/>
      <w:bookmarkStart w:id="6" w:name="_Toc28359002"/>
      <w:r/>
      <w:bookmarkStart w:id="7" w:name="_Toc28359079"/>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hint="eastAsia" w:ascii="仿宋" w:hAnsi="仿宋" w:eastAsia="仿宋"/>
          <w:sz w:val="32"/>
          <w:szCs w:val="32"/>
        </w:rPr>
        <w:t xml:space="preserve">JSZC-320400-CTZB-G2026-0047</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常州市第二人民医院飞利浦DSA维保服务项目</w:t>
      </w:r>
      <w:r>
        <w:rPr>
          <w:rFonts w:ascii="仿宋" w:hAnsi="仿宋" w:eastAsia="仿宋"/>
          <w:sz w:val="32"/>
          <w:szCs w:val="32"/>
        </w:rPr>
      </w:r>
      <w:r/>
    </w:p>
    <w:p>
      <w:pPr>
        <w:pStyle w:val="1072"/>
        <w:ind w:firstLine="640"/>
        <w:spacing w:line="360" w:lineRule="auto"/>
        <w:rPr>
          <w:rFonts w:hint="eastAsia" w:ascii="仿宋" w:hAnsi="仿宋" w:eastAsia="仿宋"/>
          <w:color w:val="ff0000"/>
          <w:sz w:val="32"/>
          <w:szCs w:val="32"/>
        </w:rPr>
      </w:pPr>
      <w:r/>
      <w:bookmarkEnd w:id="9"/>
      <w:r>
        <w:rPr>
          <w:rFonts w:ascii="仿宋" w:hAnsi="仿宋" w:eastAsia="仿宋"/>
          <w:sz w:val="32"/>
          <w:szCs w:val="32"/>
        </w:rPr>
        <w:t xml:space="preserve">3.项目预算金额：</w:t>
      </w:r>
      <w:r>
        <w:rPr>
          <w:rFonts w:hint="eastAsia" w:ascii="仿宋" w:hAnsi="仿宋" w:eastAsia="仿宋"/>
          <w:bCs/>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/年</w:t>
      </w:r>
      <w:r>
        <w:rPr>
          <w:rFonts w:hint="eastAsia" w:ascii="仿宋" w:hAnsi="仿宋" w:eastAsia="仿宋"/>
          <w:color w:val="ff0000"/>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bCs/>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/年</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cs="Times New Roman"/>
                <w:color w:val="000000"/>
                <w:sz w:val="32"/>
                <w:szCs w:val="32"/>
                <w:highlight w:val="none"/>
                <w:lang w:eastAsia="zh-CN"/>
              </w:rPr>
              <w:t xml:space="preserve">飞利浦DSA维保服务</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130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1年</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2"/>
              <w:jc w:val="both"/>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维保设备：</w:t>
            </w:r>
            <w:r>
              <w:rPr>
                <w:rFonts w:hint="eastAsia" w:ascii="仿宋" w:hAnsi="仿宋" w:eastAsia="仿宋"/>
                <w:color w:val="000000"/>
                <w:sz w:val="32"/>
                <w:szCs w:val="32"/>
                <w:highlight w:val="none"/>
                <w:lang w:val="en-US" w:eastAsia="zh-CN"/>
              </w:rPr>
              <w:t xml:space="preserve">2台飞利浦DSA</w:t>
            </w:r>
            <w:r>
              <w:rPr>
                <w:rFonts w:ascii="仿宋" w:hAnsi="仿宋" w:eastAsia="仿宋"/>
                <w:color w:val="000000"/>
                <w:sz w:val="32"/>
                <w:szCs w:val="32"/>
                <w:highlight w:val="none"/>
                <w:lang w:val="en-US" w:eastAsia="zh-CN"/>
              </w:rPr>
            </w:r>
            <w:r/>
          </w:p>
          <w:p>
            <w:pPr>
              <w:pStyle w:val="1072"/>
              <w:jc w:val="both"/>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维保类型：全保</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u w:val="single"/>
        </w:rPr>
      </w:pPr>
      <w:r>
        <w:rPr>
          <w:rFonts w:hint="eastAsia" w:ascii="仿宋" w:hAnsi="仿宋" w:eastAsia="仿宋"/>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bCs/>
          <w:color w:val="000000"/>
          <w:sz w:val="32"/>
          <w:szCs w:val="32"/>
          <w:highlight w:val="none"/>
          <w:lang w:val="en-US" w:eastAsia="zh-CN"/>
        </w:rPr>
        <w:t xml:space="preserve">服务期限3年，合同一年一签</w:t>
      </w:r>
      <w:r>
        <w:rPr>
          <w:rFonts w:hint="eastAsia" w:ascii="仿宋" w:hAnsi="仿宋" w:eastAsia="仿宋"/>
          <w:color w:val="000000"/>
          <w:sz w:val="32"/>
          <w:szCs w:val="32"/>
          <w:highlight w:val="none"/>
          <w:lang w:val="en-US" w:eastAsia="zh-CN"/>
        </w:rPr>
        <w:t xml:space="preserve">。</w:t>
      </w:r>
      <w:r>
        <w:rPr>
          <w:rFonts w:ascii="仿宋" w:hAnsi="仿宋" w:eastAsia="仿宋"/>
          <w:color w:val="000000"/>
          <w:sz w:val="32"/>
          <w:szCs w:val="32"/>
          <w:u w:val="single"/>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4"/>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28359080"/>
      <w:r/>
      <w:bookmarkStart w:id="13" w:name="_Toc35393791"/>
      <w:r>
        <w:rPr>
          <w:rFonts w:ascii="仿宋" w:hAnsi="仿宋" w:eastAsia="仿宋"/>
          <w:color w:val="000000"/>
          <w:sz w:val="32"/>
          <w:szCs w:val="32"/>
        </w:rPr>
        <w:t xml:space="preserve">二、申请人的资格要求（须同时满足</w:t>
      </w:r>
      <w:r>
        <w:rPr>
          <w:rFonts w:ascii="仿宋" w:hAnsi="仿宋" w:eastAsia="仿宋"/>
          <w:sz w:val="32"/>
          <w:szCs w:val="32"/>
        </w:rPr>
        <w:t xml:space="preserve">）</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sz w:val="32"/>
          <w:szCs w:val="32"/>
        </w:rPr>
        <w:t xml:space="preserve">2.1 中小企业政</w:t>
      </w:r>
      <w:r>
        <w:rPr>
          <w:rFonts w:ascii="仿宋" w:hAnsi="仿宋" w:eastAsia="仿宋"/>
          <w:color w:val="000000"/>
          <w:sz w:val="32"/>
          <w:szCs w:val="32"/>
        </w:rPr>
        <w:t xml:space="preserve">策</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2"/>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对于预留份额，提供的服务由符合政策要求的中小企业承接。</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其它落实政府采购政策的资格要求（</w:t>
      </w:r>
      <w:r>
        <w:rPr>
          <w:rFonts w:ascii="仿宋" w:hAnsi="仿宋" w:eastAsia="仿宋"/>
          <w:sz w:val="32"/>
          <w:szCs w:val="32"/>
        </w:rPr>
        <w:t xml:space="preserve">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color w:val="000000"/>
          <w:sz w:val="32"/>
          <w:szCs w:val="32"/>
          <w:u w:val="single"/>
        </w:rPr>
      </w:pPr>
      <w:r>
        <w:rPr>
          <w:rFonts w:ascii="仿宋" w:hAnsi="仿宋" w:eastAsia="仿宋"/>
          <w:sz w:val="32"/>
          <w:szCs w:val="32"/>
        </w:rPr>
        <w:t xml:space="preserve">3.本项目的特定资格要</w:t>
      </w:r>
      <w:r>
        <w:rPr>
          <w:rFonts w:ascii="仿宋" w:hAnsi="仿宋" w:eastAsia="仿宋"/>
          <w:color w:val="000000"/>
          <w:sz w:val="32"/>
          <w:szCs w:val="32"/>
        </w:rPr>
        <w:t xml:space="preserve">求：</w:t>
      </w:r>
      <w:r>
        <w:rPr>
          <w:rFonts w:ascii="仿宋" w:hAnsi="仿宋" w:eastAsia="仿宋"/>
          <w:i/>
          <w:iCs/>
          <w:color w:val="000000"/>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sz w:val="32"/>
          <w:szCs w:val="32"/>
        </w:rPr>
        <w:t xml:space="preserve">3.3其他特定资</w:t>
      </w:r>
      <w:r>
        <w:rPr>
          <w:rFonts w:ascii="仿宋" w:hAnsi="仿宋" w:eastAsia="仿宋"/>
          <w:color w:val="000000"/>
          <w:sz w:val="32"/>
          <w:szCs w:val="32"/>
        </w:rPr>
        <w:t xml:space="preserve">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color w:val="000000"/>
          <w:sz w:val="32"/>
          <w:szCs w:val="32"/>
          <w:u w:val="single"/>
        </w:rPr>
      </w:r>
      <w:r/>
    </w:p>
    <w:p>
      <w:pPr>
        <w:pStyle w:val="1074"/>
        <w:ind w:firstLine="643"/>
        <w:jc w:val="left"/>
        <w:spacing w:before="0" w:line="360" w:lineRule="auto"/>
        <w:widowControl/>
        <w:rPr>
          <w:rFonts w:ascii="仿宋" w:hAnsi="仿宋" w:eastAsia="仿宋"/>
          <w:color w:val="000000"/>
          <w:sz w:val="32"/>
          <w:szCs w:val="32"/>
        </w:rPr>
      </w:pPr>
      <w:r/>
      <w:bookmarkEnd w:id="14"/>
      <w:r/>
      <w:bookmarkEnd w:id="15"/>
      <w:r/>
      <w:bookmarkStart w:id="16" w:name="_Toc35393623"/>
      <w:r/>
      <w:bookmarkStart w:id="17" w:name="_Toc35393792"/>
      <w:r>
        <w:rPr>
          <w:rFonts w:ascii="仿宋" w:hAnsi="仿宋" w:eastAsia="仿宋"/>
          <w:color w:val="000000"/>
          <w:sz w:val="32"/>
          <w:szCs w:val="32"/>
        </w:rPr>
        <w:t xml:space="preserve">三、获取招标文件</w:t>
      </w:r>
      <w:bookmarkEnd w:id="16"/>
      <w:r/>
      <w:bookmarkEnd w:id="17"/>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color w:val="000000"/>
          <w:sz w:val="32"/>
          <w:szCs w:val="32"/>
          <w:lang w:val="en-US" w:eastAsia="zh-CN" w:bidi="ar"/>
        </w:rPr>
        <w:t xml:space="preserve">2026</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05</w:t>
      </w:r>
      <w:r>
        <w:rPr>
          <w:rFonts w:hint="eastAsia" w:ascii="仿宋" w:hAnsi="仿宋" w:eastAsia="仿宋" w:cs="宋体"/>
          <w:color w:val="000000"/>
          <w:sz w:val="32"/>
          <w:szCs w:val="32"/>
        </w:rPr>
        <w:t xml:space="preserve">月12</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2026</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05</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19</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2"/>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2"/>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4"/>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color w:val="000000"/>
          <w:sz w:val="32"/>
          <w:szCs w:val="32"/>
          <w:u w:val="single"/>
        </w:rPr>
      </w:pPr>
      <w:r>
        <w:rPr>
          <w:rFonts w:ascii="仿宋" w:hAnsi="仿宋" w:eastAsia="仿宋"/>
          <w:sz w:val="32"/>
          <w:szCs w:val="32"/>
          <w:lang w:bidi="ar"/>
        </w:rPr>
        <w:t xml:space="preserve">投标截止时间、开标时</w:t>
      </w:r>
      <w:r>
        <w:rPr>
          <w:rFonts w:ascii="仿宋" w:hAnsi="仿宋" w:eastAsia="仿宋"/>
          <w:color w:val="000000"/>
          <w:sz w:val="32"/>
          <w:szCs w:val="32"/>
          <w:lang w:bidi="ar"/>
        </w:rPr>
        <w:t xml:space="preserve">间：</w:t>
      </w:r>
      <w:r>
        <w:rPr>
          <w:rFonts w:hint="eastAsia" w:ascii="仿宋" w:hAnsi="仿宋" w:eastAsia="仿宋"/>
          <w:b/>
          <w:bCs/>
          <w:color w:val="000000"/>
          <w:sz w:val="32"/>
          <w:szCs w:val="32"/>
          <w:lang w:val="en-US" w:eastAsia="zh-CN"/>
        </w:rPr>
        <w:t xml:space="preserve">2026</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06</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02</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2"/>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4"/>
        <w:ind w:firstLine="643"/>
        <w:jc w:val="left"/>
        <w:spacing w:before="0" w:line="360" w:lineRule="auto"/>
        <w:rPr>
          <w:rFonts w:ascii="仿宋" w:hAnsi="仿宋" w:eastAsia="仿宋"/>
          <w:color w:val="000000"/>
          <w:sz w:val="32"/>
          <w:szCs w:val="32"/>
        </w:rPr>
      </w:pPr>
      <w:r/>
      <w:bookmarkStart w:id="22" w:name="_Toc35393794"/>
      <w:r/>
      <w:bookmarkStart w:id="23" w:name="_Toc28359084"/>
      <w:r/>
      <w:bookmarkStart w:id="24" w:name="_Toc28359007"/>
      <w:r/>
      <w:bookmarkStart w:id="25" w:name="_Toc35393625"/>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4"/>
        <w:ind w:firstLine="643"/>
        <w:jc w:val="left"/>
        <w:spacing w:before="0" w:line="360" w:lineRule="auto"/>
        <w:rPr>
          <w:rFonts w:ascii="仿宋" w:hAnsi="仿宋" w:eastAsia="仿宋"/>
          <w:color w:val="000000"/>
          <w:sz w:val="32"/>
          <w:szCs w:val="32"/>
        </w:rPr>
      </w:pPr>
      <w:r/>
      <w:bookmarkStart w:id="26" w:name="_Toc35393626"/>
      <w:r/>
      <w:bookmarkStart w:id="27" w:name="_Toc35393795"/>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w:t>
      </w:r>
      <w:r>
        <w:rPr>
          <w:rFonts w:ascii="仿宋" w:hAnsi="仿宋" w:eastAsia="仿宋"/>
          <w:color w:val="000000"/>
          <w:sz w:val="32"/>
          <w:szCs w:val="32"/>
          <w:highlight w:val="none"/>
        </w:rPr>
        <w:t xml:space="preserve">本项目的采购年限为</w:t>
      </w:r>
      <w:r>
        <w:rPr>
          <w:rFonts w:hint="eastAsia" w:ascii="仿宋" w:hAnsi="仿宋" w:eastAsia="仿宋"/>
          <w:color w:val="000000"/>
          <w:sz w:val="32"/>
          <w:szCs w:val="32"/>
          <w:highlight w:val="none"/>
          <w:lang w:val="en-US" w:eastAsia="zh-CN"/>
        </w:rPr>
        <w:t xml:space="preserve">3</w:t>
      </w:r>
      <w:r>
        <w:rPr>
          <w:rFonts w:ascii="仿宋" w:hAnsi="仿宋" w:eastAsia="仿宋"/>
          <w:color w:val="000000"/>
          <w:sz w:val="32"/>
          <w:szCs w:val="32"/>
          <w:highlight w:val="none"/>
        </w:rPr>
        <w:t xml:space="preserve">年</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当年安排数为</w:t>
      </w:r>
      <w:r>
        <w:rPr>
          <w:rFonts w:hint="eastAsia" w:ascii="仿宋" w:hAnsi="仿宋" w:eastAsia="仿宋"/>
          <w:color w:val="000000"/>
          <w:sz w:val="32"/>
          <w:szCs w:val="32"/>
          <w:highlight w:val="none"/>
          <w:lang w:val="en-US" w:eastAsia="zh-CN"/>
        </w:rPr>
        <w:t xml:space="preserve">130</w:t>
      </w:r>
      <w:r>
        <w:rPr>
          <w:rFonts w:ascii="仿宋" w:hAnsi="仿宋" w:eastAsia="仿宋"/>
          <w:color w:val="000000"/>
          <w:sz w:val="32"/>
          <w:szCs w:val="32"/>
          <w:highlight w:val="none"/>
        </w:rPr>
        <w:t xml:space="preserve">万元。</w:t>
      </w:r>
      <w:r>
        <w:rPr>
          <w:rFonts w:ascii="仿宋" w:hAnsi="仿宋" w:eastAsia="仿宋"/>
          <w:sz w:val="32"/>
          <w:szCs w:val="32"/>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3.根据省财政厅《关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4.关于常州市中小企业政府采购信用融资：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627"/>
      <w:r/>
      <w:bookmarkStart w:id="29" w:name="_Toc35393796"/>
      <w:r/>
      <w:bookmarkStart w:id="30" w:name="_Toc28359008"/>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072"/>
        <w:ind w:firstLine="640"/>
        <w:jc w:val="left"/>
        <w:spacing w:line="360" w:lineRule="auto"/>
        <w:rPr>
          <w:rFonts w:ascii="仿宋" w:hAnsi="仿宋" w:eastAsia="仿宋"/>
          <w:color w:val="000000"/>
          <w:sz w:val="32"/>
          <w:szCs w:val="32"/>
          <w:highlight w:val="none"/>
          <w:lang w:val="en-US" w:eastAsia="zh-CN"/>
        </w:rPr>
      </w:pPr>
      <w:r/>
      <w:bookmarkStart w:id="32" w:name="_Toc28359086"/>
      <w:r/>
      <w:bookmarkStart w:id="33" w:name="_Toc28359009"/>
      <w:r>
        <w:rPr>
          <w:rFonts w:hint="eastAsia" w:ascii="仿宋" w:hAnsi="仿宋" w:eastAsia="仿宋"/>
          <w:color w:val="000000"/>
          <w:sz w:val="32"/>
          <w:szCs w:val="32"/>
          <w:highlight w:val="none"/>
        </w:rPr>
        <w:t xml:space="preserve">名    称：</w:t>
      </w:r>
      <w:r>
        <w:rPr>
          <w:rFonts w:hint="eastAsia" w:ascii="仿宋" w:hAnsi="仿宋" w:eastAsia="仿宋"/>
          <w:color w:val="000000"/>
          <w:sz w:val="32"/>
          <w:szCs w:val="32"/>
          <w:highlight w:val="none"/>
          <w:lang w:val="en-US" w:eastAsia="zh-CN"/>
        </w:rPr>
        <w:t xml:space="preserve">常州市第二人民医院</w:t>
      </w:r>
      <w:r>
        <w:rPr>
          <w:rFonts w:ascii="仿宋" w:hAnsi="仿宋" w:eastAsia="仿宋"/>
          <w:color w:val="000000"/>
          <w:sz w:val="32"/>
          <w:szCs w:val="32"/>
          <w:highlight w:val="none"/>
          <w:lang w:val="en-US" w:eastAsia="zh-CN"/>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址：江苏省常州市武进区滆湖中路188号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ff0000"/>
          <w:sz w:val="32"/>
          <w:szCs w:val="32"/>
        </w:rPr>
      </w:pPr>
      <w:r>
        <w:rPr>
          <w:rFonts w:hint="eastAsia" w:ascii="仿宋" w:hAnsi="仿宋" w:eastAsia="仿宋"/>
          <w:color w:val="000000"/>
          <w:sz w:val="32"/>
          <w:szCs w:val="32"/>
          <w:highlight w:val="none"/>
        </w:rPr>
        <w:t xml:space="preserve">联系方式：杨先生 0519-81080985</w:t>
      </w:r>
      <w:r>
        <w:rPr>
          <w:rFonts w:hint="eastAsia" w:ascii="仿宋" w:hAnsi="仿宋" w:eastAsia="仿宋"/>
          <w:color w:val="ff0000"/>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ascii="仿宋" w:hAnsi="仿宋" w:eastAsia="仿宋"/>
          <w:sz w:val="24"/>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sz w:val="24"/>
        </w:rPr>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226965856"/>
      <w:r/>
      <w:bookmarkStart w:id="37" w:name="_Toc150774783"/>
      <w:r/>
      <w:bookmarkStart w:id="38" w:name="_Toc512937850"/>
      <w:r/>
      <w:bookmarkStart w:id="39" w:name="_Toc99301420"/>
      <w:r/>
      <w:bookmarkStart w:id="40" w:name="_Toc127151777"/>
      <w:r/>
      <w:bookmarkStart w:id="41" w:name="_Toc195842950"/>
      <w:r/>
      <w:bookmarkStart w:id="42" w:name="_Toc265228423"/>
      <w:r/>
      <w:bookmarkStart w:id="43" w:name="_Toc127161488"/>
      <w:r/>
      <w:bookmarkStart w:id="44" w:name="_Toc353825548"/>
      <w:r/>
      <w:bookmarkStart w:id="45" w:name="_Toc264969275"/>
      <w:r/>
      <w:bookmarkStart w:id="46" w:name="_Toc305158928"/>
      <w:r/>
      <w:bookmarkStart w:id="47" w:name="_Toc353873938"/>
      <w:r/>
      <w:bookmarkStart w:id="48" w:name="_Toc305158854"/>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51193833"/>
      <w:r/>
      <w:bookmarkStart w:id="50" w:name="_Toc226337215"/>
      <w:r/>
      <w:bookmarkStart w:id="51" w:name="_Toc226309763"/>
      <w:r/>
      <w:bookmarkStart w:id="52" w:name="_Toc164608788"/>
      <w:r/>
      <w:bookmarkStart w:id="53" w:name="_Toc195842884"/>
      <w:r/>
      <w:bookmarkStart w:id="54" w:name="_Toc520356144"/>
      <w:r/>
      <w:bookmarkStart w:id="55" w:name="_Toc142311021"/>
      <w:r/>
      <w:bookmarkStart w:id="56" w:name="_Toc127151720"/>
      <w:r/>
      <w:bookmarkStart w:id="57" w:name="_Toc149720812"/>
      <w:r/>
      <w:bookmarkStart w:id="58" w:name="_Toc151193617"/>
      <w:r/>
      <w:bookmarkStart w:id="59" w:name="_Toc150509270"/>
      <w:r/>
      <w:bookmarkStart w:id="60" w:name="_Toc226965709"/>
      <w:r/>
      <w:bookmarkStart w:id="61" w:name="_Toc164229214"/>
      <w:r/>
      <w:bookmarkStart w:id="62" w:name="_Toc151193907"/>
      <w:r/>
      <w:bookmarkStart w:id="63" w:name="_Toc150774619"/>
      <w:r/>
      <w:bookmarkStart w:id="64" w:name="_Toc150480757"/>
      <w:r/>
      <w:bookmarkStart w:id="65" w:name="_Toc164351613"/>
      <w:r/>
      <w:bookmarkStart w:id="66" w:name="_Toc127151519"/>
      <w:r/>
      <w:bookmarkStart w:id="67" w:name="_Toc164229360"/>
      <w:r/>
      <w:bookmarkStart w:id="68" w:name="_Toc226965792"/>
      <w:r/>
      <w:bookmarkStart w:id="69" w:name="_Toc150774724"/>
      <w:r/>
      <w:bookmarkStart w:id="70" w:name="_Toc151193761"/>
      <w:r/>
      <w:bookmarkStart w:id="71" w:name="_Toc164608633"/>
      <w:r/>
      <w:bookmarkStart w:id="72" w:name="_Toc151193689"/>
      <w:r/>
      <w:bookmarkStart w:id="73" w:name="_Toc127161433"/>
      <w:r/>
      <w:bookmarkStart w:id="74" w:name="_Toc151190146"/>
      <w:r>
        <w:rPr>
          <w:rFonts w:ascii="宋体" w:hAnsi="宋体" w:eastAsia="宋体"/>
          <w:sz w:val="28"/>
        </w:rPr>
        <w:t xml:space="preserve">投标人须知资料表</w:t>
      </w:r>
      <w:r>
        <w:rPr>
          <w:rFonts w:ascii="宋体" w:hAnsi="宋体" w:eastAsia="宋体"/>
          <w:sz w:val="28"/>
        </w:rPr>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1"/>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1"/>
              <w:rPr>
                <w:rFonts w:hAnsi="宋体" w:cs="宋体"/>
                <w:sz w:val="24"/>
                <w:szCs w:val="24"/>
              </w:rPr>
            </w:pPr>
            <w:r>
              <w:rPr>
                <w:rFonts w:hAnsi="宋体" w:cs="宋体"/>
                <w:sz w:val="24"/>
                <w:szCs w:val="24"/>
              </w:rPr>
              <w:t xml:space="preserve">□本项目__包为单一产品采购项目。</w:t>
            </w:r>
            <w:r>
              <w:rPr>
                <w:rFonts w:hAnsi="宋体" w:cs="宋体"/>
                <w:sz w:val="24"/>
                <w:szCs w:val="24"/>
              </w:rPr>
            </w:r>
            <w:r/>
          </w:p>
          <w:p>
            <w:pPr>
              <w:pStyle w:val="1072"/>
              <w:jc w:val="left"/>
              <w:rPr>
                <w:rFonts w:hint="eastAsia" w:ascii="宋体" w:hAnsi="宋体" w:cs="宋体"/>
                <w:sz w:val="24"/>
              </w:rPr>
            </w:pP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1"/>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1"/>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w:t>
            </w:r>
            <w:r>
              <w:rPr>
                <w:rFonts w:hint="eastAsia" w:ascii="宋体" w:hAnsi="宋体" w:cs="宋体"/>
                <w:color w:val="000000"/>
                <w:sz w:val="24"/>
                <w:highlight w:val="none"/>
              </w:rPr>
              <w:t xml:space="preserve">准所属行业：其他未列明行业。</w:t>
            </w:r>
            <w:r>
              <w:rPr>
                <w:rFonts w:hint="eastAsia" w:ascii="宋体" w:hAnsi="宋体" w:cs="宋体"/>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5.9</w:t>
            </w:r>
            <w:r>
              <w:rPr>
                <w:rFonts w:hAnsi="宋体" w:cs="宋体"/>
                <w:color w:val="000000"/>
                <w:sz w:val="24"/>
                <w:szCs w:val="24"/>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540" w:type="dxa"/>
            <w:vAlign w:val="center"/>
            <w:textDirection w:val="lrTb"/>
            <w:noWrap w:val="false"/>
          </w:tcPr>
          <w:p>
            <w:pPr>
              <w:pStyle w:val="1072"/>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ascii="Wingdings 2" w:hAnsi="Wingdings 2" w:eastAsia="Wingdings 2" w:cs="Wingdings 2"/>
                <w:color w:val="000000"/>
                <w:sz w:val="24"/>
              </w:rPr>
              <w:t xml:space="preserve">R</w:t>
            </w:r>
            <w:r>
              <w:rPr>
                <w:rFonts w:hint="eastAsia"/>
                <w:color w:val="000000"/>
                <w:sz w:val="24"/>
              </w:rPr>
              <w:t xml:space="preserve">适用 </w:t>
            </w:r>
            <w:r>
              <w:rPr>
                <w:rFonts w:hint="eastAsia"/>
                <w:color w:val="000000"/>
                <w:sz w:val="24"/>
              </w:rPr>
              <w:fldChar w:fldCharType="begin"/>
            </w:r>
            <w:r>
              <w:rPr>
                <w:rFonts w:hint="eastAsia"/>
                <w:color w:val="000000"/>
                <w:sz w:val="24"/>
              </w:rPr>
              <w:instrText xml:space="preserve"> eq \o \ac(□)</w:instrText>
            </w:r>
            <w:r>
              <w:rPr>
                <w:rFonts w:hint="eastAsia"/>
                <w:color w:val="000000"/>
                <w:sz w:val="24"/>
              </w:rPr>
              <w:fldChar w:fldCharType="end"/>
            </w:r>
            <w:r>
              <w:rPr>
                <w:rFonts w:hint="eastAsia"/>
                <w:color w:val="000000"/>
                <w:sz w:val="24"/>
              </w:rPr>
              <w:t xml:space="preserve">不适用。</w:t>
            </w:r>
            <w:r>
              <w:rPr>
                <w:rFonts w:hint="eastAsia"/>
                <w:color w:val="000000"/>
                <w:sz w:val="24"/>
              </w:rPr>
            </w:r>
            <w:r/>
          </w:p>
          <w:p>
            <w:pPr>
              <w:pStyle w:val="1074"/>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41"/>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lang w:val="en-US" w:eastAsia="zh-CN"/>
              </w:rPr>
              <w:t xml:space="preserve">2026</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05</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20</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rPr>
                <w:rFonts w:hint="eastAsia" w:ascii="宋体" w:hAnsi="宋体" w:cs="宋体"/>
                <w:b/>
                <w:sz w:val="24"/>
              </w:rPr>
            </w:r>
            <w:r/>
          </w:p>
          <w:p>
            <w:pPr>
              <w:pStyle w:val="1072"/>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sz w:val="24"/>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%计算并支付代理费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sz w:val="24"/>
              </w:rPr>
            </w:pPr>
            <w:r>
              <w:rPr>
                <w:rFonts w:hint="eastAsia" w:ascii="宋体" w:hAnsi="宋体" w:cs="宋体"/>
                <w:color w:val="000000"/>
                <w:sz w:val="24"/>
                <w:highlight w:val="none"/>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2"/>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226337213"/>
      <w:r/>
      <w:bookmarkStart w:id="76" w:name="_Toc150774722"/>
      <w:r/>
      <w:bookmarkStart w:id="77" w:name="_Toc305158785"/>
      <w:r/>
      <w:bookmarkStart w:id="78" w:name="_Toc353825542"/>
      <w:r/>
      <w:bookmarkStart w:id="79" w:name="_Toc305158859"/>
      <w:r/>
      <w:bookmarkStart w:id="80" w:name="_Toc265228355"/>
      <w:r/>
      <w:bookmarkStart w:id="81" w:name="_Toc264969207"/>
      <w:r/>
      <w:bookmarkStart w:id="82" w:name="_Toc353873932"/>
      <w:r/>
      <w:bookmarkStart w:id="83" w:name="_Toc226965790"/>
      <w:r/>
      <w:bookmarkStart w:id="84" w:name="_Toc127151517"/>
      <w:r/>
      <w:bookmarkStart w:id="85" w:name="_Toc142311019"/>
      <w:r/>
      <w:bookmarkStart w:id="86" w:name="_Toc195842882"/>
      <w:r/>
      <w:bookmarkStart w:id="87" w:name="_Toc353873662"/>
      <w:r/>
      <w:bookmarkStart w:id="88" w:name="_Toc1504807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688"/>
      <w:r/>
      <w:bookmarkStart w:id="92" w:name="_Toc150480756"/>
      <w:r/>
      <w:bookmarkStart w:id="93" w:name="_Toc226309762"/>
      <w:r/>
      <w:bookmarkStart w:id="94" w:name="_Toc265228356"/>
      <w:r/>
      <w:bookmarkStart w:id="95" w:name="_Toc226965708"/>
      <w:r/>
      <w:bookmarkStart w:id="96" w:name="_Toc305158786"/>
      <w:r/>
      <w:bookmarkStart w:id="97" w:name="_Toc151193832"/>
      <w:r/>
      <w:bookmarkStart w:id="98" w:name="_Toc226965791"/>
      <w:r/>
      <w:bookmarkStart w:id="99" w:name="_Toc305158860"/>
      <w:r/>
      <w:bookmarkStart w:id="100" w:name="_Toc151193616"/>
      <w:r/>
      <w:bookmarkStart w:id="101" w:name="_Toc142311020"/>
      <w:r/>
      <w:bookmarkStart w:id="102" w:name="_Toc151190145"/>
      <w:r/>
      <w:bookmarkStart w:id="103" w:name="_Toc195842883"/>
      <w:r/>
      <w:bookmarkStart w:id="104" w:name="_Toc150509269"/>
      <w:r/>
      <w:bookmarkStart w:id="105" w:name="_Toc226337214"/>
      <w:r/>
      <w:bookmarkStart w:id="106" w:name="_Toc151193906"/>
      <w:r/>
      <w:bookmarkStart w:id="107" w:name="_Toc151193760"/>
      <w:r/>
      <w:bookmarkStart w:id="108" w:name="_Toc150774618"/>
      <w:r/>
      <w:bookmarkStart w:id="109" w:name="_Toc150774723"/>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150509271"/>
      <w:r/>
      <w:bookmarkStart w:id="116" w:name="_Toc127151721"/>
      <w:r/>
      <w:bookmarkStart w:id="117" w:name="_Toc164229215"/>
      <w:r/>
      <w:bookmarkStart w:id="118" w:name="_Toc164229361"/>
      <w:r/>
      <w:bookmarkStart w:id="119" w:name="_Toc305158788"/>
      <w:r/>
      <w:bookmarkStart w:id="120" w:name="_Toc151193834"/>
      <w:r/>
      <w:bookmarkStart w:id="121" w:name="_Toc151193618"/>
      <w:r/>
      <w:bookmarkStart w:id="122" w:name="_Toc164351614"/>
      <w:r/>
      <w:bookmarkStart w:id="123" w:name="_Toc151190147"/>
      <w:r/>
      <w:bookmarkStart w:id="124" w:name="_Toc151193762"/>
      <w:r/>
      <w:bookmarkStart w:id="125" w:name="_Toc150480758"/>
      <w:r/>
      <w:bookmarkStart w:id="126" w:name="_Toc151193690"/>
      <w:r/>
      <w:bookmarkStart w:id="127" w:name="_Toc195842885"/>
      <w:r/>
      <w:bookmarkStart w:id="128" w:name="_Toc149720813"/>
      <w:r/>
      <w:bookmarkStart w:id="129" w:name="_Toc226965793"/>
      <w:r/>
      <w:bookmarkStart w:id="130" w:name="_Toc226965710"/>
      <w:r/>
      <w:bookmarkStart w:id="131" w:name="_Toc164608634"/>
      <w:r/>
      <w:bookmarkStart w:id="132" w:name="_Toc305158862"/>
      <w:r/>
      <w:bookmarkStart w:id="133" w:name="_Toc265228358"/>
      <w:r/>
      <w:bookmarkStart w:id="134" w:name="_Toc127161434"/>
      <w:r/>
      <w:bookmarkStart w:id="135" w:name="_Toc150774725"/>
      <w:r/>
      <w:bookmarkStart w:id="136" w:name="_Toc150774620"/>
      <w:r/>
      <w:bookmarkStart w:id="137" w:name="_Toc151193908"/>
      <w:r/>
      <w:bookmarkStart w:id="138" w:name="_Toc264969210"/>
      <w:r/>
      <w:bookmarkStart w:id="139" w:name="_Toc127151520"/>
      <w:r/>
      <w:bookmarkStart w:id="140" w:name="_Toc142311022"/>
      <w:r/>
      <w:bookmarkStart w:id="141" w:name="_Toc226337216"/>
      <w:r/>
      <w:bookmarkStart w:id="142" w:name="_Toc164608789"/>
      <w:r/>
      <w:bookmarkStart w:id="143" w:name="_Toc226309764"/>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309766"/>
      <w:r/>
      <w:bookmarkStart w:id="145" w:name="_Toc151193620"/>
      <w:r/>
      <w:bookmarkStart w:id="146" w:name="_Toc151193836"/>
      <w:r/>
      <w:bookmarkStart w:id="147" w:name="_Toc142311024"/>
      <w:r/>
      <w:bookmarkStart w:id="148" w:name="_Toc150774622"/>
      <w:r/>
      <w:bookmarkStart w:id="149" w:name="_Toc150509273"/>
      <w:r/>
      <w:bookmarkStart w:id="150" w:name="_Toc151193764"/>
      <w:r/>
      <w:bookmarkStart w:id="151" w:name="_Toc127151522"/>
      <w:r/>
      <w:bookmarkStart w:id="152" w:name="_Toc151193692"/>
      <w:r/>
      <w:bookmarkStart w:id="153" w:name="_Toc226965712"/>
      <w:r/>
      <w:bookmarkStart w:id="154" w:name="_Toc150774727"/>
      <w:r/>
      <w:bookmarkStart w:id="155" w:name="_Toc226965795"/>
      <w:r/>
      <w:bookmarkStart w:id="156" w:name="_Toc520356146"/>
      <w:r/>
      <w:bookmarkStart w:id="157" w:name="_Toc150480760"/>
      <w:r/>
      <w:bookmarkStart w:id="158" w:name="_Toc151193910"/>
      <w:r/>
      <w:bookmarkStart w:id="159" w:name="_Toc226337218"/>
      <w:r/>
      <w:bookmarkStart w:id="160" w:name="_Toc151190149"/>
      <w:r/>
      <w:bookmarkStart w:id="161" w:name="_Toc305158790"/>
      <w:r/>
      <w:bookmarkStart w:id="162" w:name="_Toc305158864"/>
      <w:r/>
      <w:bookmarkStart w:id="163" w:name="_Toc195842887"/>
      <w:r/>
      <w:bookmarkStart w:id="164" w:name="_Toc264969212"/>
      <w:r/>
      <w:bookmarkStart w:id="165" w:name="_Toc265228360"/>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72"/>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color w:val="000000"/>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w:t>
      </w:r>
      <w:r>
        <w:rPr>
          <w:rFonts w:hint="eastAsia" w:ascii="宋体" w:hAnsi="宋体"/>
          <w:color w:val="000000"/>
          <w:sz w:val="24"/>
        </w:rPr>
        <w:t xml:space="preserve">量限制标准的产品；属于推荐性标准的，应当在采购文件中载明低VOCs的优惠幅度、评审标准等，以体现优先采购。</w:t>
      </w:r>
      <w:r>
        <w:rPr>
          <w:rFonts w:hint="eastAsia" w:ascii="宋体" w:hAnsi="宋体"/>
          <w:color w:val="000000"/>
          <w:sz w:val="24"/>
        </w:rPr>
      </w:r>
      <w:r/>
    </w:p>
    <w:p>
      <w:pPr>
        <w:pStyle w:val="1072"/>
        <w:ind w:firstLine="482"/>
        <w:spacing w:line="360" w:lineRule="auto"/>
        <w:rPr>
          <w:rFonts w:hint="eastAsia" w:ascii="宋体" w:hAnsi="宋体"/>
          <w:b/>
          <w:bCs/>
          <w:color w:val="000000"/>
          <w:sz w:val="24"/>
        </w:rPr>
      </w:pPr>
      <w:r>
        <w:rPr>
          <w:rFonts w:hint="eastAsia" w:ascii="宋体" w:hAnsi="宋体"/>
          <w:b/>
          <w:bCs/>
          <w:color w:val="000000"/>
          <w:sz w:val="24"/>
        </w:rPr>
        <w:t xml:space="preserve">5.9采购本国产品的支持政策</w:t>
      </w:r>
      <w:r>
        <w:rPr>
          <w:rFonts w:hint="eastAsia" w:ascii="宋体" w:hAnsi="宋体"/>
          <w:b/>
          <w:bCs/>
          <w:color w:val="000000"/>
          <w:sz w:val="24"/>
        </w:rPr>
      </w:r>
      <w:r/>
    </w:p>
    <w:p>
      <w:pPr>
        <w:pStyle w:val="1072"/>
        <w:ind w:firstLine="480"/>
        <w:spacing w:line="360" w:lineRule="auto"/>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w:t>
      </w:r>
      <w:r>
        <w:rPr>
          <w:rFonts w:hint="eastAsia" w:ascii="宋体" w:hAnsi="宋体" w:cs="宋体"/>
          <w:sz w:val="24"/>
        </w:rPr>
        <w:t xml:space="preserve">义务和责任。</w:t>
      </w:r>
      <w:r>
        <w:rPr>
          <w:rFonts w:hint="eastAsia" w:ascii="宋体" w:hAnsi="宋体" w:cs="宋体"/>
          <w:sz w:val="24"/>
        </w:rPr>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520356147"/>
      <w:r/>
      <w:bookmarkStart w:id="168" w:name="_Toc151193765"/>
      <w:r/>
      <w:bookmarkStart w:id="169" w:name="_Toc265228361"/>
      <w:r/>
      <w:bookmarkStart w:id="170" w:name="_Toc305158865"/>
      <w:r/>
      <w:bookmarkStart w:id="171" w:name="_Toc226309767"/>
      <w:r/>
      <w:bookmarkStart w:id="172" w:name="_Toc127161437"/>
      <w:r/>
      <w:bookmarkStart w:id="173" w:name="_Toc226337219"/>
      <w:r/>
      <w:bookmarkStart w:id="174" w:name="_Toc305158791"/>
      <w:r/>
      <w:bookmarkStart w:id="175" w:name="_Toc151193911"/>
      <w:r/>
      <w:bookmarkStart w:id="176" w:name="_Toc151190150"/>
      <w:r/>
      <w:bookmarkStart w:id="177" w:name="_Toc226965796"/>
      <w:r/>
      <w:bookmarkStart w:id="178" w:name="_Toc142311025"/>
      <w:r/>
      <w:bookmarkStart w:id="179" w:name="_Toc150774623"/>
      <w:r/>
      <w:bookmarkStart w:id="180" w:name="_Toc127151523"/>
      <w:r/>
      <w:bookmarkStart w:id="181" w:name="_Toc164608792"/>
      <w:r/>
      <w:bookmarkStart w:id="182" w:name="_Toc164608637"/>
      <w:r/>
      <w:bookmarkStart w:id="183" w:name="_Toc151193837"/>
      <w:r/>
      <w:bookmarkStart w:id="184" w:name="_Toc150509274"/>
      <w:r/>
      <w:bookmarkStart w:id="185" w:name="_Toc151193621"/>
      <w:r/>
      <w:bookmarkStart w:id="186" w:name="_Toc195842888"/>
      <w:r/>
      <w:bookmarkStart w:id="187" w:name="_Toc226965713"/>
      <w:r/>
      <w:bookmarkStart w:id="188" w:name="_Toc164351617"/>
      <w:r/>
      <w:bookmarkStart w:id="189" w:name="_Toc264969213"/>
      <w:r/>
      <w:bookmarkStart w:id="190" w:name="_Toc151193693"/>
      <w:r/>
      <w:bookmarkStart w:id="191" w:name="_Toc164229364"/>
      <w:r/>
      <w:bookmarkStart w:id="192" w:name="_Toc127151724"/>
      <w:r/>
      <w:bookmarkStart w:id="193" w:name="_Toc164229218"/>
      <w:r/>
      <w:bookmarkStart w:id="194" w:name="_Toc149720816"/>
      <w:r/>
      <w:bookmarkStart w:id="195" w:name="_Toc150480761"/>
      <w:r/>
      <w:bookmarkStart w:id="196" w:name="_Toc150774728"/>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197" w:name="_Toc265228364"/>
      <w:r/>
      <w:bookmarkStart w:id="198" w:name="_Toc142311028"/>
      <w:r/>
      <w:bookmarkStart w:id="199" w:name="_Toc151190153"/>
      <w:r/>
      <w:bookmarkStart w:id="200" w:name="_Toc195842891"/>
      <w:r/>
      <w:bookmarkStart w:id="201" w:name="_Toc264969216"/>
      <w:r/>
      <w:bookmarkStart w:id="202" w:name="_Toc226337222"/>
      <w:r/>
      <w:bookmarkStart w:id="203" w:name="_Toc150480764"/>
      <w:r/>
      <w:bookmarkStart w:id="204" w:name="_Toc151193914"/>
      <w:r/>
      <w:bookmarkStart w:id="205" w:name="_Toc127151526"/>
      <w:r/>
      <w:bookmarkStart w:id="206" w:name="_Toc151193624"/>
      <w:r/>
      <w:bookmarkStart w:id="207" w:name="_Toc226965716"/>
      <w:r/>
      <w:bookmarkStart w:id="208" w:name="_Toc151193768"/>
      <w:r/>
      <w:bookmarkStart w:id="209" w:name="_Toc226309770"/>
      <w:r/>
      <w:bookmarkStart w:id="210" w:name="_Toc516367020"/>
      <w:r/>
      <w:bookmarkStart w:id="211" w:name="_Toc226965799"/>
      <w:r/>
      <w:bookmarkStart w:id="212" w:name="_Toc305158794"/>
      <w:r/>
      <w:bookmarkStart w:id="213" w:name="_Toc305158868"/>
      <w:r/>
      <w:bookmarkStart w:id="214" w:name="_Toc151193696"/>
      <w:r/>
      <w:bookmarkStart w:id="215" w:name="_Toc150774731"/>
      <w:r/>
      <w:bookmarkStart w:id="216" w:name="_Toc150774626"/>
      <w:r/>
      <w:bookmarkStart w:id="217" w:name="_Toc150509277"/>
      <w:r/>
      <w:bookmarkStart w:id="218" w:name="_Toc151193840"/>
      <w:r/>
      <w:bookmarkStart w:id="219" w:name="_Toc520356150"/>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50509278"/>
      <w:r/>
      <w:bookmarkStart w:id="222" w:name="_Toc516367021"/>
      <w:r/>
      <w:bookmarkStart w:id="223" w:name="_Toc226965800"/>
      <w:r/>
      <w:bookmarkStart w:id="224" w:name="_Toc127161441"/>
      <w:r/>
      <w:bookmarkStart w:id="225" w:name="_Toc164351621"/>
      <w:r/>
      <w:bookmarkStart w:id="226" w:name="_Toc305158869"/>
      <w:r/>
      <w:bookmarkStart w:id="227" w:name="_Toc142311029"/>
      <w:r/>
      <w:bookmarkStart w:id="228" w:name="_Toc265228365"/>
      <w:r/>
      <w:bookmarkStart w:id="229" w:name="_Toc150774732"/>
      <w:r/>
      <w:bookmarkStart w:id="230" w:name="_Toc151193841"/>
      <w:r/>
      <w:bookmarkStart w:id="231" w:name="_Toc151193625"/>
      <w:r/>
      <w:bookmarkStart w:id="232" w:name="_Toc151190154"/>
      <w:r/>
      <w:bookmarkStart w:id="233" w:name="_Toc127151527"/>
      <w:r/>
      <w:bookmarkStart w:id="234" w:name="_Toc520356151"/>
      <w:r/>
      <w:bookmarkStart w:id="235" w:name="_Toc305158795"/>
      <w:r/>
      <w:bookmarkStart w:id="236" w:name="_Toc264969217"/>
      <w:r/>
      <w:bookmarkStart w:id="237" w:name="_Toc150774627"/>
      <w:r/>
      <w:bookmarkStart w:id="238" w:name="_Toc151193697"/>
      <w:r/>
      <w:bookmarkStart w:id="239" w:name="_Toc164229222"/>
      <w:r/>
      <w:bookmarkStart w:id="240" w:name="_Toc226965717"/>
      <w:r/>
      <w:bookmarkStart w:id="241" w:name="_Toc164229368"/>
      <w:r/>
      <w:bookmarkStart w:id="242" w:name="_Toc151193915"/>
      <w:r/>
      <w:bookmarkStart w:id="243" w:name="_Toc150480765"/>
      <w:r/>
      <w:bookmarkStart w:id="244" w:name="_Toc127151728"/>
      <w:r/>
      <w:bookmarkStart w:id="245" w:name="_Toc226337223"/>
      <w:r/>
      <w:bookmarkStart w:id="246" w:name="_Toc195842892"/>
      <w:r/>
      <w:bookmarkStart w:id="247" w:name="_Toc226309771"/>
      <w:r/>
      <w:bookmarkStart w:id="248" w:name="_Toc164608796"/>
      <w:r/>
      <w:bookmarkStart w:id="249" w:name="_Toc149720820"/>
      <w:r/>
      <w:bookmarkStart w:id="250" w:name="_Toc15119376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229369"/>
      <w:r/>
      <w:bookmarkStart w:id="252" w:name="_Toc226965801"/>
      <w:r/>
      <w:bookmarkStart w:id="253" w:name="_Toc127151528"/>
      <w:r/>
      <w:bookmarkStart w:id="254" w:name="_Toc164608797"/>
      <w:r/>
      <w:bookmarkStart w:id="255" w:name="_Toc226337224"/>
      <w:r/>
      <w:bookmarkStart w:id="256" w:name="_Toc195842893"/>
      <w:r/>
      <w:bookmarkStart w:id="257" w:name="_Toc151193770"/>
      <w:r/>
      <w:bookmarkStart w:id="258" w:name="_Ref467306195"/>
      <w:r/>
      <w:bookmarkStart w:id="259" w:name="_Toc516367022"/>
      <w:r/>
      <w:bookmarkStart w:id="260" w:name="_Ref467306676"/>
      <w:r/>
      <w:bookmarkStart w:id="261" w:name="_Toc151193842"/>
      <w:r/>
      <w:bookmarkStart w:id="262" w:name="_Toc164608642"/>
      <w:r/>
      <w:bookmarkStart w:id="263" w:name="_Toc150480766"/>
      <w:r/>
      <w:bookmarkStart w:id="264" w:name="_Toc305158870"/>
      <w:r/>
      <w:bookmarkStart w:id="265" w:name="_Toc127161442"/>
      <w:r/>
      <w:bookmarkStart w:id="266" w:name="_Toc151193916"/>
      <w:r/>
      <w:bookmarkStart w:id="267" w:name="_Toc226309772"/>
      <w:r/>
      <w:bookmarkStart w:id="268" w:name="_Toc520356152"/>
      <w:r/>
      <w:bookmarkStart w:id="269" w:name="_Toc150774733"/>
      <w:r/>
      <w:bookmarkStart w:id="270" w:name="_Toc265228366"/>
      <w:r/>
      <w:bookmarkStart w:id="271" w:name="_Toc151193626"/>
      <w:r/>
      <w:bookmarkStart w:id="272" w:name="_Toc264969218"/>
      <w:r/>
      <w:bookmarkStart w:id="273" w:name="_Toc150774628"/>
      <w:r/>
      <w:bookmarkStart w:id="274" w:name="_Toc149720821"/>
      <w:r/>
      <w:bookmarkStart w:id="275" w:name="_Toc151190155"/>
      <w:r/>
      <w:bookmarkStart w:id="276" w:name="_Toc305158796"/>
      <w:r/>
      <w:bookmarkStart w:id="277" w:name="_Toc127151729"/>
      <w:r/>
      <w:bookmarkStart w:id="278" w:name="_Toc142311030"/>
      <w:r/>
      <w:bookmarkStart w:id="279" w:name="_Toc164351622"/>
      <w:r/>
      <w:bookmarkStart w:id="280" w:name="_Toc226965718"/>
      <w:r/>
      <w:bookmarkStart w:id="281" w:name="_Toc151193698"/>
      <w:r/>
      <w:bookmarkStart w:id="282" w:name="_Toc150509279"/>
      <w:r/>
      <w:bookmarkStart w:id="283" w:name="_Toc164229223"/>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774630"/>
      <w:r/>
      <w:bookmarkStart w:id="286" w:name="_Toc164229225"/>
      <w:r/>
      <w:bookmarkStart w:id="287" w:name="_Toc164351624"/>
      <w:r/>
      <w:bookmarkStart w:id="288" w:name="_Toc151193700"/>
      <w:r/>
      <w:bookmarkStart w:id="289" w:name="_Toc151190157"/>
      <w:r/>
      <w:bookmarkStart w:id="290" w:name="_Toc520356155"/>
      <w:r/>
      <w:bookmarkStart w:id="291" w:name="_Toc127151731"/>
      <w:r/>
      <w:bookmarkStart w:id="292" w:name="_Toc151193628"/>
      <w:r/>
      <w:bookmarkStart w:id="293" w:name="_Toc142311032"/>
      <w:r/>
      <w:bookmarkStart w:id="294" w:name="_Toc151193772"/>
      <w:r/>
      <w:bookmarkStart w:id="295" w:name="_Toc151193918"/>
      <w:r/>
      <w:bookmarkStart w:id="296" w:name="_Toc164229371"/>
      <w:r/>
      <w:bookmarkStart w:id="297" w:name="_Toc149720823"/>
      <w:r/>
      <w:bookmarkStart w:id="298" w:name="_Toc151193844"/>
      <w:r/>
      <w:bookmarkStart w:id="299" w:name="_Toc127151530"/>
      <w:r/>
      <w:bookmarkStart w:id="300" w:name="_Toc127161444"/>
      <w:r/>
      <w:bookmarkStart w:id="301" w:name="_Toc164608799"/>
      <w:r/>
      <w:bookmarkStart w:id="302" w:name="_Toc150774735"/>
      <w:r/>
      <w:bookmarkStart w:id="303" w:name="_Toc150480768"/>
      <w:r/>
      <w:bookmarkStart w:id="304" w:name="_Toc195842895"/>
      <w:r/>
      <w:bookmarkStart w:id="305" w:name="_Toc150509281"/>
      <w:r/>
      <w:bookmarkStart w:id="306" w:name="_Toc16460864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701"/>
      <w:r/>
      <w:bookmarkStart w:id="308" w:name="_Toc151193773"/>
      <w:r/>
      <w:bookmarkStart w:id="309" w:name="_Toc164351625"/>
      <w:r/>
      <w:bookmarkStart w:id="310" w:name="_Toc164608645"/>
      <w:r/>
      <w:bookmarkStart w:id="311" w:name="_Toc305158873"/>
      <w:r/>
      <w:bookmarkStart w:id="312" w:name="_Toc226965804"/>
      <w:r/>
      <w:bookmarkStart w:id="313" w:name="_Ref467306513"/>
      <w:r/>
      <w:bookmarkStart w:id="314" w:name="_Toc151193919"/>
      <w:r/>
      <w:bookmarkStart w:id="315" w:name="_Toc265228369"/>
      <w:r/>
      <w:bookmarkStart w:id="316" w:name="_Toc264969221"/>
      <w:r/>
      <w:bookmarkStart w:id="317" w:name="_Toc142311033"/>
      <w:r/>
      <w:bookmarkStart w:id="318" w:name="_Toc151193845"/>
      <w:r/>
      <w:bookmarkStart w:id="319" w:name="_Toc164229372"/>
      <w:r/>
      <w:bookmarkStart w:id="320" w:name="_Toc520356156"/>
      <w:r/>
      <w:bookmarkStart w:id="321" w:name="_Toc149720824"/>
      <w:r/>
      <w:bookmarkStart w:id="322" w:name="_Toc226965721"/>
      <w:r/>
      <w:bookmarkStart w:id="323" w:name="_Toc150509282"/>
      <w:r/>
      <w:bookmarkStart w:id="324" w:name="_Toc195842896"/>
      <w:r/>
      <w:bookmarkStart w:id="325" w:name="_Toc127151531"/>
      <w:r/>
      <w:bookmarkStart w:id="326" w:name="_Toc150774736"/>
      <w:r/>
      <w:bookmarkStart w:id="327" w:name="_Toc164229226"/>
      <w:r/>
      <w:bookmarkStart w:id="328" w:name="_Toc127161445"/>
      <w:r/>
      <w:bookmarkStart w:id="329" w:name="_Toc127151732"/>
      <w:r/>
      <w:bookmarkStart w:id="330" w:name="_Toc150774631"/>
      <w:r/>
      <w:bookmarkStart w:id="331" w:name="_Toc305158799"/>
      <w:r/>
      <w:bookmarkStart w:id="332" w:name="_Toc226337227"/>
      <w:r/>
      <w:bookmarkStart w:id="333" w:name="_Toc150480769"/>
      <w:r/>
      <w:bookmarkStart w:id="334" w:name="_Toc151190158"/>
      <w:r/>
      <w:bookmarkStart w:id="335" w:name="_Toc226309775"/>
      <w:r/>
      <w:bookmarkStart w:id="336" w:name="_Toc151193629"/>
      <w:r/>
      <w:bookmarkStart w:id="337" w:name="_Toc164608800"/>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480770"/>
      <w:r/>
      <w:bookmarkStart w:id="339" w:name="_Toc305158874"/>
      <w:r/>
      <w:bookmarkStart w:id="340" w:name="_Toc149720825"/>
      <w:r/>
      <w:bookmarkStart w:id="341" w:name="_Toc127151532"/>
      <w:r/>
      <w:bookmarkStart w:id="342" w:name="_Toc265228370"/>
      <w:r/>
      <w:bookmarkStart w:id="343" w:name="_Toc305158800"/>
      <w:r/>
      <w:bookmarkStart w:id="344" w:name="_Toc150774737"/>
      <w:r/>
      <w:bookmarkStart w:id="345" w:name="_Toc164229227"/>
      <w:r/>
      <w:bookmarkStart w:id="346" w:name="_Toc520356157"/>
      <w:r/>
      <w:bookmarkStart w:id="347" w:name="_Toc195842897"/>
      <w:r/>
      <w:bookmarkStart w:id="348" w:name="_Toc226965722"/>
      <w:r/>
      <w:bookmarkStart w:id="349" w:name="_Toc150509283"/>
      <w:r/>
      <w:bookmarkStart w:id="350" w:name="_Toc151193702"/>
      <w:r/>
      <w:bookmarkStart w:id="351" w:name="_Toc226337228"/>
      <w:r/>
      <w:bookmarkStart w:id="352" w:name="_Toc164608801"/>
      <w:r/>
      <w:bookmarkStart w:id="353" w:name="_Toc127151733"/>
      <w:r/>
      <w:bookmarkStart w:id="354" w:name="_Toc151190159"/>
      <w:r/>
      <w:bookmarkStart w:id="355" w:name="_Toc164351626"/>
      <w:r/>
      <w:bookmarkStart w:id="356" w:name="_Toc151193846"/>
      <w:r/>
      <w:bookmarkStart w:id="357" w:name="_Toc226309776"/>
      <w:r/>
      <w:bookmarkStart w:id="358" w:name="_Toc151193920"/>
      <w:r/>
      <w:bookmarkStart w:id="359" w:name="_Toc150774632"/>
      <w:r/>
      <w:bookmarkStart w:id="360" w:name="_Toc164229373"/>
      <w:r/>
      <w:bookmarkStart w:id="361" w:name="_Toc127161446"/>
      <w:r/>
      <w:bookmarkStart w:id="362" w:name="_Toc151193630"/>
      <w:r/>
      <w:bookmarkStart w:id="363" w:name="_Toc151193774"/>
      <w:r/>
      <w:bookmarkStart w:id="364" w:name="_Toc164608646"/>
      <w:r/>
      <w:bookmarkStart w:id="365" w:name="_Toc142311034"/>
      <w:r/>
      <w:bookmarkStart w:id="366" w:name="_Toc264969222"/>
      <w:r/>
      <w:bookmarkStart w:id="367" w:name="_Toc226965805"/>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631"/>
      <w:r/>
      <w:bookmarkStart w:id="369" w:name="_Toc151193703"/>
      <w:r/>
      <w:bookmarkStart w:id="370" w:name="_Toc226309777"/>
      <w:r/>
      <w:bookmarkStart w:id="371" w:name="_Toc164608802"/>
      <w:r/>
      <w:bookmarkStart w:id="372" w:name="_Toc305158875"/>
      <w:r/>
      <w:bookmarkStart w:id="373" w:name="_Toc264969223"/>
      <w:r/>
      <w:bookmarkStart w:id="374" w:name="_Toc127161447"/>
      <w:r/>
      <w:bookmarkStart w:id="375" w:name="_Toc520356158"/>
      <w:r/>
      <w:bookmarkStart w:id="376" w:name="_Toc149720826"/>
      <w:r/>
      <w:bookmarkStart w:id="377" w:name="_Toc127151533"/>
      <w:r/>
      <w:bookmarkStart w:id="378" w:name="_Toc150480771"/>
      <w:r/>
      <w:bookmarkStart w:id="379" w:name="_Toc150509284"/>
      <w:r/>
      <w:bookmarkStart w:id="380" w:name="_Toc150774633"/>
      <w:r/>
      <w:bookmarkStart w:id="381" w:name="_Toc164608647"/>
      <w:r/>
      <w:bookmarkStart w:id="382" w:name="_Toc151190160"/>
      <w:r/>
      <w:bookmarkStart w:id="383" w:name="_Toc226965806"/>
      <w:r/>
      <w:bookmarkStart w:id="384" w:name="_Toc127151734"/>
      <w:r/>
      <w:bookmarkStart w:id="385" w:name="_Toc305158801"/>
      <w:r/>
      <w:bookmarkStart w:id="386" w:name="_Toc226337229"/>
      <w:r/>
      <w:bookmarkStart w:id="387" w:name="_Toc142311035"/>
      <w:r/>
      <w:bookmarkStart w:id="388" w:name="_Toc151193775"/>
      <w:r/>
      <w:bookmarkStart w:id="389" w:name="_Toc164229374"/>
      <w:r/>
      <w:bookmarkStart w:id="390" w:name="_Toc226965723"/>
      <w:r/>
      <w:bookmarkStart w:id="391" w:name="_Toc150774738"/>
      <w:r/>
      <w:bookmarkStart w:id="392" w:name="_Toc195842898"/>
      <w:r/>
      <w:bookmarkStart w:id="393" w:name="_Toc151193921"/>
      <w:r/>
      <w:bookmarkStart w:id="394" w:name="_Toc265228371"/>
      <w:r/>
      <w:bookmarkStart w:id="395" w:name="_Toc164351627"/>
      <w:r/>
      <w:bookmarkStart w:id="396" w:name="_Toc151193847"/>
      <w:r/>
      <w:bookmarkStart w:id="397" w:name="_Toc16422922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226965724"/>
      <w:r/>
      <w:bookmarkStart w:id="400" w:name="_Toc142311036"/>
      <w:r/>
      <w:bookmarkStart w:id="401" w:name="_Toc151193922"/>
      <w:r/>
      <w:bookmarkStart w:id="402" w:name="_Toc226309778"/>
      <w:r/>
      <w:bookmarkStart w:id="403" w:name="_Toc150509285"/>
      <w:r/>
      <w:bookmarkStart w:id="404" w:name="_Toc150480772"/>
      <w:r/>
      <w:bookmarkStart w:id="405" w:name="_Toc265228372"/>
      <w:r/>
      <w:bookmarkStart w:id="406" w:name="_Toc305158876"/>
      <w:r/>
      <w:bookmarkStart w:id="407" w:name="_Toc151193776"/>
      <w:r/>
      <w:bookmarkStart w:id="408" w:name="_Toc195842899"/>
      <w:r/>
      <w:bookmarkStart w:id="409" w:name="_Toc520356159"/>
      <w:r/>
      <w:bookmarkStart w:id="410" w:name="_Toc150774634"/>
      <w:r/>
      <w:bookmarkStart w:id="411" w:name="_Toc151193632"/>
      <w:r/>
      <w:bookmarkStart w:id="412" w:name="_Toc151193704"/>
      <w:r/>
      <w:bookmarkStart w:id="413" w:name="_Toc127151534"/>
      <w:r/>
      <w:bookmarkStart w:id="414" w:name="_Toc150774739"/>
      <w:r/>
      <w:bookmarkStart w:id="415" w:name="_Toc305158802"/>
      <w:r/>
      <w:bookmarkStart w:id="416" w:name="_Toc151193848"/>
      <w:r/>
      <w:bookmarkStart w:id="417" w:name="_Toc264969224"/>
      <w:r/>
      <w:bookmarkStart w:id="418" w:name="_Toc151190161"/>
      <w:r/>
      <w:bookmarkStart w:id="419" w:name="_Toc226337230"/>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42311037"/>
      <w:r/>
      <w:bookmarkStart w:id="421" w:name="_Toc305158877"/>
      <w:r/>
      <w:bookmarkStart w:id="422" w:name="_Toc195842900"/>
      <w:r/>
      <w:bookmarkStart w:id="423" w:name="_Toc305158803"/>
      <w:r/>
      <w:bookmarkStart w:id="424" w:name="_Toc149720828"/>
      <w:r/>
      <w:bookmarkStart w:id="425" w:name="_Toc164351629"/>
      <w:r/>
      <w:bookmarkStart w:id="426" w:name="_Toc164608804"/>
      <w:r/>
      <w:bookmarkStart w:id="427" w:name="_Toc520356160"/>
      <w:r/>
      <w:bookmarkStart w:id="428" w:name="_Toc150509286"/>
      <w:r/>
      <w:bookmarkStart w:id="429" w:name="_Toc151193923"/>
      <w:r/>
      <w:bookmarkStart w:id="430" w:name="_Toc127151535"/>
      <w:r/>
      <w:bookmarkStart w:id="431" w:name="_Toc151193777"/>
      <w:r/>
      <w:bookmarkStart w:id="432" w:name="_Toc164229376"/>
      <w:r/>
      <w:bookmarkStart w:id="433" w:name="_Toc226309779"/>
      <w:r/>
      <w:bookmarkStart w:id="434" w:name="_Toc150480773"/>
      <w:r/>
      <w:bookmarkStart w:id="435" w:name="_Toc226965725"/>
      <w:r/>
      <w:bookmarkStart w:id="436" w:name="_Toc264969225"/>
      <w:r/>
      <w:bookmarkStart w:id="437" w:name="_Toc226965808"/>
      <w:r/>
      <w:bookmarkStart w:id="438" w:name="_Toc164229230"/>
      <w:r/>
      <w:bookmarkStart w:id="439" w:name="_Toc164608649"/>
      <w:r/>
      <w:bookmarkStart w:id="440" w:name="_Toc151193849"/>
      <w:r/>
      <w:bookmarkStart w:id="441" w:name="_Toc150774635"/>
      <w:r/>
      <w:bookmarkStart w:id="442" w:name="_Toc226337231"/>
      <w:r/>
      <w:bookmarkStart w:id="443" w:name="_Toc151190162"/>
      <w:r/>
      <w:bookmarkStart w:id="444" w:name="_Toc127161449"/>
      <w:r/>
      <w:bookmarkStart w:id="445" w:name="_Toc265228373"/>
      <w:r/>
      <w:bookmarkStart w:id="446" w:name="_Toc151193705"/>
      <w:r/>
      <w:bookmarkStart w:id="447" w:name="_Toc127151736"/>
      <w:r/>
      <w:bookmarkStart w:id="448" w:name="_Toc150774740"/>
      <w:r/>
      <w:bookmarkStart w:id="449" w:name="_Toc15119363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04"/>
      <w:r/>
      <w:bookmarkStart w:id="451" w:name="_Toc151193924"/>
      <w:r/>
      <w:bookmarkStart w:id="452" w:name="_Toc164229377"/>
      <w:r/>
      <w:bookmarkStart w:id="453" w:name="_Toc149720829"/>
      <w:r/>
      <w:bookmarkStart w:id="454" w:name="_Toc142311038"/>
      <w:r/>
      <w:bookmarkStart w:id="455" w:name="_Toc150774741"/>
      <w:r/>
      <w:bookmarkStart w:id="456" w:name="_Toc305158878"/>
      <w:r/>
      <w:bookmarkStart w:id="457" w:name="_Toc520356161"/>
      <w:r/>
      <w:bookmarkStart w:id="458" w:name="_Toc164229231"/>
      <w:r/>
      <w:bookmarkStart w:id="459" w:name="_Toc127151737"/>
      <w:r/>
      <w:bookmarkStart w:id="460" w:name="_Toc151193706"/>
      <w:r/>
      <w:bookmarkStart w:id="461" w:name="_Toc164608650"/>
      <w:r/>
      <w:bookmarkStart w:id="462" w:name="_Toc164351630"/>
      <w:r/>
      <w:bookmarkStart w:id="463" w:name="_Toc151193634"/>
      <w:r/>
      <w:bookmarkStart w:id="464" w:name="_Toc265228374"/>
      <w:r/>
      <w:bookmarkStart w:id="465" w:name="_Toc151193850"/>
      <w:r/>
      <w:bookmarkStart w:id="466" w:name="_Toc150774636"/>
      <w:r/>
      <w:bookmarkStart w:id="467" w:name="_Toc150480774"/>
      <w:r/>
      <w:bookmarkStart w:id="468" w:name="_Toc127161450"/>
      <w:r/>
      <w:bookmarkStart w:id="469" w:name="_Toc195842901"/>
      <w:r/>
      <w:bookmarkStart w:id="470" w:name="_Toc150509287"/>
      <w:r/>
      <w:bookmarkStart w:id="471" w:name="_Toc226965809"/>
      <w:r/>
      <w:bookmarkStart w:id="472" w:name="_Toc226309780"/>
      <w:r/>
      <w:bookmarkStart w:id="473" w:name="_Toc127151536"/>
      <w:r/>
      <w:bookmarkStart w:id="474" w:name="_Toc164608805"/>
      <w:r/>
      <w:bookmarkStart w:id="475" w:name="_Toc151190163"/>
      <w:r/>
      <w:bookmarkStart w:id="476" w:name="_Toc151193778"/>
      <w:r/>
      <w:bookmarkStart w:id="477" w:name="_Toc226965726"/>
      <w:r/>
      <w:bookmarkStart w:id="478" w:name="_Toc264969226"/>
      <w:r/>
      <w:bookmarkStart w:id="479" w:name="_Toc226337232"/>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635"/>
      <w:r/>
      <w:bookmarkStart w:id="481" w:name="_Toc164608806"/>
      <w:r/>
      <w:bookmarkStart w:id="482" w:name="_Toc520356162"/>
      <w:r/>
      <w:bookmarkStart w:id="483" w:name="_Toc305158879"/>
      <w:r/>
      <w:bookmarkStart w:id="484" w:name="_Toc195842902"/>
      <w:r/>
      <w:bookmarkStart w:id="485" w:name="_Toc142311039"/>
      <w:r/>
      <w:bookmarkStart w:id="486" w:name="_Toc164351631"/>
      <w:r/>
      <w:bookmarkStart w:id="487" w:name="_Toc164229232"/>
      <w:r/>
      <w:bookmarkStart w:id="488" w:name="_Toc164229378"/>
      <w:r/>
      <w:bookmarkStart w:id="489" w:name="_Toc150509288"/>
      <w:r/>
      <w:bookmarkStart w:id="490" w:name="_Toc226309781"/>
      <w:r/>
      <w:bookmarkStart w:id="491" w:name="_Toc226337233"/>
      <w:r/>
      <w:bookmarkStart w:id="492" w:name="_Toc127151738"/>
      <w:r/>
      <w:bookmarkStart w:id="493" w:name="_Toc164608651"/>
      <w:r/>
      <w:bookmarkStart w:id="494" w:name="_Toc127151537"/>
      <w:r/>
      <w:bookmarkStart w:id="495" w:name="_Toc151193707"/>
      <w:r/>
      <w:bookmarkStart w:id="496" w:name="_Toc151193779"/>
      <w:r/>
      <w:bookmarkStart w:id="497" w:name="_Toc127161451"/>
      <w:r/>
      <w:bookmarkStart w:id="498" w:name="_Toc151190164"/>
      <w:r/>
      <w:bookmarkStart w:id="499" w:name="_Toc151193851"/>
      <w:r/>
      <w:bookmarkStart w:id="500" w:name="_Toc149720830"/>
      <w:r/>
      <w:bookmarkStart w:id="501" w:name="_Toc226965727"/>
      <w:r/>
      <w:bookmarkStart w:id="502" w:name="_Toc151193925"/>
      <w:r/>
      <w:bookmarkStart w:id="503" w:name="_Toc150480775"/>
      <w:r/>
      <w:bookmarkStart w:id="504" w:name="_Toc226965810"/>
      <w:r/>
      <w:bookmarkStart w:id="505" w:name="_Toc150774742"/>
      <w:r/>
      <w:bookmarkStart w:id="506" w:name="_Toc265228375"/>
      <w:r/>
      <w:bookmarkStart w:id="507" w:name="_Toc305158805"/>
      <w:r/>
      <w:bookmarkStart w:id="508" w:name="_Toc150774637"/>
      <w:r/>
      <w:bookmarkStart w:id="509" w:name="_Toc2649692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150774638"/>
      <w:r/>
      <w:bookmarkStart w:id="511" w:name="_Toc151193708"/>
      <w:r/>
      <w:bookmarkStart w:id="512" w:name="_Toc150480776"/>
      <w:r/>
      <w:bookmarkStart w:id="513" w:name="_Toc150774743"/>
      <w:r/>
      <w:bookmarkStart w:id="514" w:name="_Toc305158806"/>
      <w:r/>
      <w:bookmarkStart w:id="515" w:name="_Toc151193636"/>
      <w:r/>
      <w:bookmarkStart w:id="516" w:name="_Toc520356163"/>
      <w:r/>
      <w:bookmarkStart w:id="517" w:name="_Toc226965728"/>
      <w:r/>
      <w:bookmarkStart w:id="518" w:name="_Toc151193852"/>
      <w:r/>
      <w:bookmarkStart w:id="519" w:name="_Toc151190165"/>
      <w:r/>
      <w:bookmarkStart w:id="520" w:name="_Toc151193780"/>
      <w:r/>
      <w:bookmarkStart w:id="521" w:name="_Toc151193926"/>
      <w:r/>
      <w:bookmarkStart w:id="522" w:name="_Toc265228376"/>
      <w:r/>
      <w:bookmarkStart w:id="523" w:name="_Toc226965811"/>
      <w:r/>
      <w:bookmarkStart w:id="524" w:name="_Toc264969228"/>
      <w:r/>
      <w:bookmarkStart w:id="525" w:name="_Toc226337234"/>
      <w:r/>
      <w:bookmarkStart w:id="526" w:name="_Toc142311040"/>
      <w:r/>
      <w:bookmarkStart w:id="527" w:name="_Toc195842903"/>
      <w:r/>
      <w:bookmarkStart w:id="528" w:name="_Toc305158880"/>
      <w:r/>
      <w:bookmarkStart w:id="529" w:name="_Toc127151538"/>
      <w:r/>
      <w:bookmarkStart w:id="530" w:name="_Toc226309782"/>
      <w:r/>
      <w:bookmarkStart w:id="531" w:name="_Toc150509289"/>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5228377"/>
      <w:r/>
      <w:bookmarkStart w:id="533" w:name="_Toc226965729"/>
      <w:r/>
      <w:bookmarkStart w:id="534" w:name="_Toc150774639"/>
      <w:r/>
      <w:bookmarkStart w:id="535" w:name="_Toc164229380"/>
      <w:r/>
      <w:bookmarkStart w:id="536" w:name="_Toc151190166"/>
      <w:r/>
      <w:bookmarkStart w:id="537" w:name="_Toc127151539"/>
      <w:r/>
      <w:bookmarkStart w:id="538" w:name="_Toc151193781"/>
      <w:r/>
      <w:bookmarkStart w:id="539" w:name="_Toc150480777"/>
      <w:r/>
      <w:bookmarkStart w:id="540" w:name="_Toc164608653"/>
      <w:r/>
      <w:bookmarkStart w:id="541" w:name="_Toc305158881"/>
      <w:r/>
      <w:bookmarkStart w:id="542" w:name="_Toc150774744"/>
      <w:r/>
      <w:bookmarkStart w:id="543" w:name="_Toc127151740"/>
      <w:r/>
      <w:bookmarkStart w:id="544" w:name="_Toc226965812"/>
      <w:r/>
      <w:bookmarkStart w:id="545" w:name="_Toc151193927"/>
      <w:r/>
      <w:bookmarkStart w:id="546" w:name="_Toc164608808"/>
      <w:r/>
      <w:bookmarkStart w:id="547" w:name="_Toc164351633"/>
      <w:r/>
      <w:bookmarkStart w:id="548" w:name="_Toc226309783"/>
      <w:r/>
      <w:bookmarkStart w:id="549" w:name="_Toc264969229"/>
      <w:r/>
      <w:bookmarkStart w:id="550" w:name="_Toc151193853"/>
      <w:r/>
      <w:bookmarkStart w:id="551" w:name="_Toc164229234"/>
      <w:r/>
      <w:bookmarkStart w:id="552" w:name="_Toc520356164"/>
      <w:r/>
      <w:bookmarkStart w:id="553" w:name="_Toc226337235"/>
      <w:r/>
      <w:bookmarkStart w:id="554" w:name="_Toc305158807"/>
      <w:r/>
      <w:bookmarkStart w:id="555" w:name="_Toc149720832"/>
      <w:r/>
      <w:bookmarkStart w:id="556" w:name="_Toc150509290"/>
      <w:r/>
      <w:bookmarkStart w:id="557" w:name="_Toc151193709"/>
      <w:r/>
      <w:bookmarkStart w:id="558" w:name="_Toc142311041"/>
      <w:r/>
      <w:bookmarkStart w:id="559" w:name="_Toc195842904"/>
      <w:r/>
      <w:bookmarkStart w:id="560" w:name="_Toc127161453"/>
      <w:r/>
      <w:bookmarkStart w:id="561" w:name="_Toc15119363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26337236"/>
      <w:r/>
      <w:bookmarkStart w:id="564" w:name="_Toc226309784"/>
      <w:r/>
      <w:bookmarkStart w:id="565" w:name="_Toc151193928"/>
      <w:r/>
      <w:bookmarkStart w:id="566" w:name="_Toc305158808"/>
      <w:r/>
      <w:bookmarkStart w:id="567" w:name="_Toc195842905"/>
      <w:r/>
      <w:bookmarkStart w:id="568" w:name="_Toc164608654"/>
      <w:r/>
      <w:bookmarkStart w:id="569" w:name="_Toc150774640"/>
      <w:r/>
      <w:bookmarkStart w:id="570" w:name="_Toc164229381"/>
      <w:r/>
      <w:bookmarkStart w:id="571" w:name="_Toc305158882"/>
      <w:r/>
      <w:bookmarkStart w:id="572" w:name="_Toc150774745"/>
      <w:r/>
      <w:bookmarkStart w:id="573" w:name="_Toc127151741"/>
      <w:r/>
      <w:bookmarkStart w:id="574" w:name="_Toc127161454"/>
      <w:r/>
      <w:bookmarkStart w:id="575" w:name="_Toc164351634"/>
      <w:r/>
      <w:bookmarkStart w:id="576" w:name="_Toc164229235"/>
      <w:r/>
      <w:bookmarkStart w:id="577" w:name="_Toc264969230"/>
      <w:r/>
      <w:bookmarkStart w:id="578" w:name="_Toc164608809"/>
      <w:r/>
      <w:bookmarkStart w:id="579" w:name="_Toc151193710"/>
      <w:r/>
      <w:bookmarkStart w:id="580" w:name="_Toc151193782"/>
      <w:r/>
      <w:bookmarkStart w:id="581" w:name="_Toc127151540"/>
      <w:r/>
      <w:bookmarkStart w:id="582" w:name="_Toc142311042"/>
      <w:r/>
      <w:bookmarkStart w:id="583" w:name="_Toc149720833"/>
      <w:r/>
      <w:bookmarkStart w:id="584" w:name="_Toc226965813"/>
      <w:r/>
      <w:bookmarkStart w:id="585" w:name="_Toc265228378"/>
      <w:r/>
      <w:bookmarkStart w:id="586" w:name="_Toc151193638"/>
      <w:r/>
      <w:bookmarkStart w:id="587" w:name="_Toc151190167"/>
      <w:r/>
      <w:bookmarkStart w:id="588" w:name="_Toc150480778"/>
      <w:r/>
      <w:bookmarkStart w:id="589" w:name="_Toc150509291"/>
      <w:r/>
      <w:bookmarkStart w:id="590" w:name="_Toc151193854"/>
      <w:r/>
      <w:bookmarkStart w:id="591" w:name="_Toc2269657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264969235"/>
      <w:r/>
      <w:bookmarkStart w:id="595" w:name="_Toc151193643"/>
      <w:r/>
      <w:bookmarkStart w:id="596" w:name="_Toc151193715"/>
      <w:r/>
      <w:bookmarkStart w:id="597" w:name="_Toc150774750"/>
      <w:r/>
      <w:bookmarkStart w:id="598" w:name="_Toc305158887"/>
      <w:r/>
      <w:bookmarkStart w:id="599" w:name="_Toc150774645"/>
      <w:r/>
      <w:bookmarkStart w:id="600" w:name="_Toc142311047"/>
      <w:r/>
      <w:bookmarkStart w:id="601" w:name="_Toc226965818"/>
      <w:r/>
      <w:bookmarkStart w:id="602" w:name="_Toc265228383"/>
      <w:r/>
      <w:bookmarkStart w:id="603" w:name="_Toc226965735"/>
      <w:r/>
      <w:bookmarkStart w:id="604" w:name="_Toc195842910"/>
      <w:r/>
      <w:bookmarkStart w:id="605" w:name="_Toc226337241"/>
      <w:r/>
      <w:bookmarkStart w:id="606" w:name="_Toc127151545"/>
      <w:r/>
      <w:bookmarkStart w:id="607" w:name="_Toc151193859"/>
      <w:r/>
      <w:bookmarkStart w:id="608" w:name="_Toc226309789"/>
      <w:r/>
      <w:bookmarkStart w:id="609" w:name="_Toc305158813"/>
      <w:r/>
      <w:bookmarkStart w:id="610" w:name="_Toc150480783"/>
      <w:r/>
      <w:bookmarkStart w:id="611" w:name="_Toc150509296"/>
      <w:r/>
      <w:bookmarkStart w:id="612" w:name="_Toc151193787"/>
      <w:r/>
      <w:bookmarkStart w:id="613" w:name="_Toc151190172"/>
      <w:r/>
      <w:bookmarkStart w:id="614" w:name="_Toc15119393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645"/>
      <w:r/>
      <w:bookmarkStart w:id="616" w:name="_Toc226337243"/>
      <w:r/>
      <w:bookmarkStart w:id="617" w:name="_Toc305158815"/>
      <w:r/>
      <w:bookmarkStart w:id="618" w:name="_Toc305158889"/>
      <w:r/>
      <w:bookmarkStart w:id="619" w:name="_Toc127151547"/>
      <w:r/>
      <w:bookmarkStart w:id="620" w:name="_Toc151193717"/>
      <w:r/>
      <w:bookmarkStart w:id="621" w:name="_Toc142311049"/>
      <w:r/>
      <w:bookmarkStart w:id="622" w:name="_Toc265228385"/>
      <w:r/>
      <w:bookmarkStart w:id="623" w:name="_Toc164608816"/>
      <w:r/>
      <w:bookmarkStart w:id="624" w:name="_Toc149720840"/>
      <w:r/>
      <w:bookmarkStart w:id="625" w:name="_Toc150509298"/>
      <w:r/>
      <w:bookmarkStart w:id="626" w:name="_Toc151193935"/>
      <w:r/>
      <w:bookmarkStart w:id="627" w:name="_Toc150774647"/>
      <w:r/>
      <w:bookmarkStart w:id="628" w:name="_Toc164351641"/>
      <w:r/>
      <w:bookmarkStart w:id="629" w:name="_Toc164229242"/>
      <w:r/>
      <w:bookmarkStart w:id="630" w:name="_Toc151193789"/>
      <w:r/>
      <w:bookmarkStart w:id="631" w:name="_Toc150774752"/>
      <w:r/>
      <w:bookmarkStart w:id="632" w:name="_Toc226309791"/>
      <w:r/>
      <w:bookmarkStart w:id="633" w:name="_Toc150480785"/>
      <w:r/>
      <w:bookmarkStart w:id="634" w:name="_Toc127151748"/>
      <w:r/>
      <w:bookmarkStart w:id="635" w:name="_Toc151193861"/>
      <w:r/>
      <w:bookmarkStart w:id="636" w:name="_Toc226965737"/>
      <w:r/>
      <w:bookmarkStart w:id="637" w:name="_Toc164229388"/>
      <w:r/>
      <w:bookmarkStart w:id="638" w:name="_Toc127161461"/>
      <w:r/>
      <w:bookmarkStart w:id="639" w:name="_Toc164608661"/>
      <w:r/>
      <w:bookmarkStart w:id="640" w:name="_Toc264969237"/>
      <w:r/>
      <w:bookmarkStart w:id="641" w:name="_Toc226965820"/>
      <w:r/>
      <w:bookmarkStart w:id="642" w:name="_Toc195842912"/>
      <w:r/>
      <w:bookmarkStart w:id="643" w:name="_Toc151190174"/>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65228387"/>
      <w:r/>
      <w:bookmarkStart w:id="645" w:name="_Toc151190176"/>
      <w:r/>
      <w:bookmarkStart w:id="646" w:name="_Toc264969239"/>
      <w:r/>
      <w:bookmarkStart w:id="647" w:name="_Toc305158891"/>
      <w:r/>
      <w:bookmarkStart w:id="648" w:name="_Toc150480787"/>
      <w:r/>
      <w:bookmarkStart w:id="649" w:name="_Toc149720842"/>
      <w:r/>
      <w:bookmarkStart w:id="650" w:name="_Toc150774754"/>
      <w:r/>
      <w:bookmarkStart w:id="651" w:name="_Toc127161463"/>
      <w:r/>
      <w:bookmarkStart w:id="652" w:name="_Ref467307090"/>
      <w:r/>
      <w:bookmarkStart w:id="653" w:name="_Ref467306425"/>
      <w:r/>
      <w:bookmarkStart w:id="654" w:name="_Toc520356176"/>
      <w:r/>
      <w:bookmarkStart w:id="655" w:name="_Toc142311051"/>
      <w:r/>
      <w:bookmarkStart w:id="656" w:name="_Toc195842914"/>
      <w:r/>
      <w:bookmarkStart w:id="657" w:name="_Toc226965822"/>
      <w:r/>
      <w:bookmarkStart w:id="658" w:name="_Toc164229244"/>
      <w:r/>
      <w:bookmarkStart w:id="659" w:name="_Toc164608818"/>
      <w:r/>
      <w:bookmarkStart w:id="660" w:name="_Toc164229390"/>
      <w:r/>
      <w:bookmarkStart w:id="661" w:name="_Toc305158817"/>
      <w:r/>
      <w:bookmarkStart w:id="662" w:name="_Toc151193791"/>
      <w:r/>
      <w:bookmarkStart w:id="663" w:name="_Toc151193719"/>
      <w:r/>
      <w:bookmarkStart w:id="664" w:name="_Toc226965739"/>
      <w:r/>
      <w:bookmarkStart w:id="665" w:name="_Toc150774649"/>
      <w:r/>
      <w:bookmarkStart w:id="666" w:name="_Toc226309793"/>
      <w:r/>
      <w:bookmarkStart w:id="667" w:name="_Toc151193647"/>
      <w:r/>
      <w:bookmarkStart w:id="668" w:name="_Toc226337245"/>
      <w:r/>
      <w:bookmarkStart w:id="669" w:name="_Toc127151750"/>
      <w:r/>
      <w:bookmarkStart w:id="670" w:name="_Toc127151549"/>
      <w:r/>
      <w:bookmarkStart w:id="671" w:name="_Toc151193937"/>
      <w:r/>
      <w:bookmarkStart w:id="672" w:name="_Toc151193863"/>
      <w:r/>
      <w:bookmarkStart w:id="673" w:name="_Toc164351643"/>
      <w:r/>
      <w:bookmarkStart w:id="674" w:name="_Toc164608663"/>
      <w:r/>
      <w:bookmarkStart w:id="675" w:name="_Toc150509300"/>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64229391"/>
      <w:r/>
      <w:bookmarkStart w:id="678" w:name="_Toc226309794"/>
      <w:r/>
      <w:bookmarkStart w:id="679" w:name="_Toc195842915"/>
      <w:r/>
      <w:bookmarkStart w:id="680" w:name="_Ref467307062"/>
      <w:r/>
      <w:bookmarkStart w:id="681" w:name="_Toc149720843"/>
      <w:r/>
      <w:bookmarkStart w:id="682" w:name="_Toc151193792"/>
      <w:r/>
      <w:bookmarkStart w:id="683" w:name="_Toc151193864"/>
      <w:r/>
      <w:bookmarkStart w:id="684" w:name="_Ref467307204"/>
      <w:r/>
      <w:bookmarkStart w:id="685" w:name="_Toc150509301"/>
      <w:r/>
      <w:bookmarkStart w:id="686" w:name="_Toc164608819"/>
      <w:r/>
      <w:bookmarkStart w:id="687" w:name="_Ref467306377"/>
      <w:r/>
      <w:bookmarkStart w:id="688" w:name="_Toc150480788"/>
      <w:r/>
      <w:bookmarkStart w:id="689" w:name="_Toc127151550"/>
      <w:r/>
      <w:bookmarkStart w:id="690" w:name="_Toc151193720"/>
      <w:r/>
      <w:bookmarkStart w:id="691" w:name="_Toc150774650"/>
      <w:r/>
      <w:bookmarkStart w:id="692" w:name="_Toc164351644"/>
      <w:r/>
      <w:bookmarkStart w:id="693" w:name="_Toc151193938"/>
      <w:r/>
      <w:bookmarkStart w:id="694" w:name="_Toc142311052"/>
      <w:r/>
      <w:bookmarkStart w:id="695" w:name="_Toc226965740"/>
      <w:r/>
      <w:bookmarkStart w:id="696" w:name="_Toc150774755"/>
      <w:r/>
      <w:bookmarkStart w:id="697" w:name="_Toc305158892"/>
      <w:r/>
      <w:bookmarkStart w:id="698" w:name="_Toc305158818"/>
      <w:r/>
      <w:bookmarkStart w:id="699" w:name="_Toc151190177"/>
      <w:r/>
      <w:bookmarkStart w:id="700" w:name="_Toc264969240"/>
      <w:r/>
      <w:bookmarkStart w:id="701" w:name="_Toc127161464"/>
      <w:r/>
      <w:bookmarkStart w:id="702" w:name="_Toc226337246"/>
      <w:r/>
      <w:bookmarkStart w:id="703" w:name="_Toc127151751"/>
      <w:r/>
      <w:bookmarkStart w:id="704" w:name="_Ref467306978"/>
      <w:r/>
      <w:bookmarkStart w:id="705" w:name="_Toc164608664"/>
      <w:r/>
      <w:bookmarkStart w:id="706" w:name="_Toc151193648"/>
      <w:r/>
      <w:bookmarkStart w:id="707" w:name="_Toc265228388"/>
      <w:r/>
      <w:bookmarkStart w:id="708" w:name="_Toc164229245"/>
      <w:r/>
      <w:bookmarkStart w:id="709" w:name="_Toc226965823"/>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rPr>
        <w:t xml:space="preserve">http://gk</w:t>
      </w:r>
      <w:bookmarkStart w:id="710" w:name="_Hlt100654014"/>
      <w:r>
        <w:rPr>
          <w:rStyle w:val="1147"/>
          <w:rFonts w:hint="eastAsia" w:ascii="宋体" w:hAnsi="宋体" w:cs="宋体"/>
        </w:rPr>
        <w:t xml:space="preserve">s</w:t>
      </w:r>
      <w:bookmarkEnd w:id="710"/>
      <w:r>
        <w:rPr>
          <w:rStyle w:val="1147"/>
          <w:rFonts w:hint="eastAsia" w:ascii="宋体" w:hAnsi="宋体" w:cs="宋体"/>
        </w:rPr>
        <w:t xml:space="preserve">.m</w:t>
      </w:r>
      <w:bookmarkStart w:id="711" w:name="_Hlt100653994"/>
      <w:r/>
      <w:bookmarkStart w:id="712" w:name="_Hlt100653993"/>
      <w:r>
        <w:rPr>
          <w:rStyle w:val="1147"/>
          <w:rFonts w:hint="eastAsia" w:ascii="宋体" w:hAnsi="宋体" w:cs="宋体"/>
        </w:rPr>
        <w:t xml:space="preserve">o</w:t>
      </w:r>
      <w:bookmarkEnd w:id="711"/>
      <w:r/>
      <w:bookmarkEnd w:id="712"/>
      <w:r>
        <w:rPr>
          <w:rStyle w:val="1147"/>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226337250"/>
      <w:r/>
      <w:bookmarkStart w:id="714" w:name="_Toc353873934"/>
      <w:r/>
      <w:bookmarkStart w:id="715" w:name="_Toc127151554"/>
      <w:r/>
      <w:bookmarkStart w:id="716" w:name="_Toc265228392"/>
      <w:r/>
      <w:bookmarkStart w:id="717" w:name="_Toc305158896"/>
      <w:r/>
      <w:bookmarkStart w:id="718" w:name="_Toc353873664"/>
      <w:r/>
      <w:bookmarkStart w:id="719" w:name="_Toc142311056"/>
      <w:r/>
      <w:bookmarkStart w:id="720" w:name="_Toc226965827"/>
      <w:r/>
      <w:bookmarkStart w:id="721" w:name="_Toc150480792"/>
      <w:r/>
      <w:bookmarkStart w:id="722" w:name="_Toc353825544"/>
      <w:r/>
      <w:bookmarkStart w:id="723" w:name="_Toc150774759"/>
      <w:r/>
      <w:bookmarkStart w:id="724" w:name="_Toc305158822"/>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1611"/>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是否接受联合体投标</w:t>
            </w:r>
            <w:r>
              <w:rPr>
                <w:rFonts w:hint="eastAsia" w:ascii="宋体" w:hAnsi="宋体" w:cs="宋体"/>
                <w:sz w:val="24"/>
              </w:rPr>
            </w:r>
            <w:r/>
          </w:p>
        </w:tc>
        <w:tc>
          <w:tcPr>
            <w:tcW w:w="4822"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sz w:val="24"/>
              </w:rPr>
            </w:r>
            <w:r/>
          </w:p>
        </w:tc>
        <w:tc>
          <w:tcPr>
            <w:tcW w:w="1638"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2"/>
              <w:tabs>
                <w:tab w:val="left" w:pos="1080" w:leader="none"/>
              </w:tabs>
              <w:rPr>
                <w:rFonts w:hint="eastAsia" w:ascii="宋体" w:hAnsi="宋体" w:cs="宋体"/>
                <w:sz w:val="24"/>
              </w:rPr>
            </w:pPr>
            <w:r>
              <w:rPr>
                <w:rFonts w:hint="eastAsia" w:ascii="宋体" w:hAnsi="宋体" w:cs="宋体"/>
                <w:color w:val="000000"/>
                <w:sz w:val="24"/>
                <w:highlight w:val="none"/>
              </w:rPr>
              <w:t xml:space="preserve">格式见《投标文件格式》</w:t>
            </w:r>
            <w:r>
              <w:rPr>
                <w:rFonts w:hint="eastAsia" w:ascii="宋体" w:hAnsi="宋体" w:cs="宋体"/>
                <w:sz w:val="24"/>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127151779"/>
      <w:r/>
      <w:bookmarkStart w:id="733" w:name="_Toc127161490"/>
      <w:r/>
      <w:bookmarkStart w:id="734" w:name="_Toc353825550"/>
      <w:r>
        <w:rPr>
          <w:rFonts w:hint="eastAsia" w:ascii="宋体" w:hAnsi="宋体" w:cs="宋体"/>
          <w:sz w:val="24"/>
        </w:rPr>
        <w:br w:type="page" w:clear="all"/>
      </w: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149720834"/>
      <w:r/>
      <w:bookmarkStart w:id="738" w:name="_Toc164351635"/>
      <w:r/>
      <w:bookmarkStart w:id="739" w:name="_Toc151193639"/>
      <w:r/>
      <w:bookmarkStart w:id="740" w:name="_Toc142311043"/>
      <w:r/>
      <w:bookmarkStart w:id="741" w:name="_Toc164608655"/>
      <w:r/>
      <w:bookmarkStart w:id="742" w:name="_Toc305158883"/>
      <w:r/>
      <w:bookmarkStart w:id="743" w:name="_Toc265228379"/>
      <w:r/>
      <w:bookmarkStart w:id="744" w:name="_Toc151193929"/>
      <w:r/>
      <w:bookmarkStart w:id="745" w:name="_Toc127151541"/>
      <w:r/>
      <w:bookmarkStart w:id="746" w:name="_Toc127161455"/>
      <w:r/>
      <w:bookmarkStart w:id="747" w:name="_Toc164229382"/>
      <w:r/>
      <w:bookmarkStart w:id="748" w:name="_Toc164608810"/>
      <w:r/>
      <w:bookmarkStart w:id="749" w:name="_Toc150774746"/>
      <w:r/>
      <w:bookmarkStart w:id="750" w:name="_Toc151193783"/>
      <w:r/>
      <w:bookmarkStart w:id="751" w:name="_Toc151190168"/>
      <w:r/>
      <w:bookmarkStart w:id="752" w:name="_Toc226965814"/>
      <w:r/>
      <w:bookmarkStart w:id="753" w:name="_Toc264969231"/>
      <w:r/>
      <w:bookmarkStart w:id="754" w:name="_Toc150774641"/>
      <w:r/>
      <w:bookmarkStart w:id="755" w:name="_Toc150509292"/>
      <w:r/>
      <w:bookmarkStart w:id="756" w:name="_Toc226309785"/>
      <w:r/>
      <w:bookmarkStart w:id="757" w:name="_Toc150480779"/>
      <w:r/>
      <w:bookmarkStart w:id="758" w:name="_Toc151193855"/>
      <w:r/>
      <w:bookmarkStart w:id="759" w:name="_Toc226337237"/>
      <w:r/>
      <w:bookmarkStart w:id="760" w:name="_Toc164229236"/>
      <w:r/>
      <w:bookmarkStart w:id="761" w:name="_Toc195842906"/>
      <w:r/>
      <w:bookmarkStart w:id="762" w:name="_Toc127151742"/>
      <w:r/>
      <w:bookmarkStart w:id="763" w:name="_Toc151193711"/>
      <w:r/>
      <w:bookmarkStart w:id="764" w:name="_Toc305158809"/>
      <w:r/>
      <w:bookmarkStart w:id="765" w:name="_Toc226965731"/>
      <w:r/>
      <w:bookmarkStart w:id="766" w:name="_Toc353873941"/>
      <w:r/>
      <w:bookmarkStart w:id="767" w:name="_Toc353825551"/>
      <w:r/>
      <w:bookmarkStart w:id="768" w:name="_Toc353873665"/>
      <w:r/>
      <w:bookmarkStart w:id="769" w:name="_Toc265228393"/>
      <w:r/>
      <w:bookmarkStart w:id="770" w:name="_Toc353825545"/>
      <w:r/>
      <w:bookmarkStart w:id="771" w:name="_Toc150480793"/>
      <w:r/>
      <w:bookmarkStart w:id="772" w:name="_Toc127151555"/>
      <w:r/>
      <w:bookmarkStart w:id="773" w:name="_Toc305158823"/>
      <w:r/>
      <w:bookmarkStart w:id="774" w:name="_Toc264969245"/>
      <w:r/>
      <w:bookmarkStart w:id="775" w:name="_Toc353873935"/>
      <w:r/>
      <w:bookmarkStart w:id="776" w:name="_Toc142311057"/>
      <w:r/>
      <w:bookmarkStart w:id="777" w:name="_Toc305158897"/>
      <w:r/>
      <w:bookmarkStart w:id="778" w:name="_Toc195842920"/>
      <w:r/>
      <w:bookmarkStart w:id="779" w:name="_Toc150774760"/>
      <w:r/>
      <w:bookmarkStart w:id="780" w:name="_Toc226965828"/>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rPr>
          <w:rFonts w:hint="eastAsia" w:ascii="宋体" w:hAnsi="宋体" w:cs="宋体"/>
          <w:sz w:val="24"/>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rPr>
          <w:rFonts w:hint="eastAsia" w:ascii="宋体" w:hAnsi="宋体" w:cs="宋体"/>
          <w:b/>
          <w:bCs/>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sz w:val="24"/>
        </w:rPr>
        <w:t xml:space="preserve">若投标人同时属于</w:t>
      </w:r>
      <w:r>
        <w:rPr>
          <w:rFonts w:hint="eastAsia" w:ascii="宋体" w:hAnsi="宋体" w:cs="宋体"/>
          <w:color w:val="000000"/>
          <w:sz w:val="24"/>
        </w:rPr>
        <w:t xml:space="preserve">小型或微型企业、监狱企业、残疾人福利性单位中的两种及以上，将不重复享受小微企业价格扣减的优惠政策。</w:t>
      </w:r>
      <w:r>
        <w:rPr>
          <w:rFonts w:hint="eastAsia" w:ascii="宋体" w:hAnsi="宋体" w:cs="宋体"/>
          <w:color w:val="000000"/>
          <w:sz w:val="24"/>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rPr>
      </w:pPr>
      <w:r>
        <w:rPr>
          <w:rFonts w:hint="eastAsia" w:ascii="宋体" w:hAnsi="宋体"/>
          <w:b/>
          <w:bCs/>
          <w:color w:val="000000"/>
          <w:sz w:val="24"/>
        </w:rPr>
        <w:t xml:space="preserve">采购本国产品的支持政策</w:t>
      </w:r>
      <w:r>
        <w:rPr>
          <w:rFonts w:hint="eastAsia" w:ascii="宋体" w:hAnsi="宋体"/>
          <w:b/>
          <w:bCs/>
          <w:color w:val="000000"/>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rPr>
      </w:pP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w:t>
      </w:r>
      <w:r>
        <w:rPr>
          <w:rFonts w:hint="eastAsia" w:ascii="宋体" w:hAnsi="宋体" w:cs="宋体"/>
          <w:sz w:val="24"/>
        </w:rPr>
        <w:t xml:space="preserve">；未通过符合性审查的投标文件不得进入比较与评价。</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50509297"/>
      <w:r/>
      <w:bookmarkStart w:id="784" w:name="_Toc150774751"/>
      <w:r/>
      <w:bookmarkStart w:id="785" w:name="_Toc226309790"/>
      <w:r/>
      <w:bookmarkStart w:id="786" w:name="_Toc305158888"/>
      <w:r/>
      <w:bookmarkStart w:id="787" w:name="_Toc151190173"/>
      <w:r/>
      <w:bookmarkStart w:id="788" w:name="_Toc265228384"/>
      <w:r/>
      <w:bookmarkStart w:id="789" w:name="_Toc142311048"/>
      <w:r/>
      <w:bookmarkStart w:id="790" w:name="_Toc164351640"/>
      <w:r/>
      <w:bookmarkStart w:id="791" w:name="_Toc149720839"/>
      <w:r/>
      <w:bookmarkStart w:id="792" w:name="_Toc164229387"/>
      <w:r/>
      <w:bookmarkStart w:id="793" w:name="_Toc151193716"/>
      <w:r/>
      <w:bookmarkStart w:id="794" w:name="_Toc305158814"/>
      <w:r/>
      <w:bookmarkStart w:id="795" w:name="_Toc127151747"/>
      <w:r/>
      <w:bookmarkStart w:id="796" w:name="_Toc164608815"/>
      <w:r/>
      <w:bookmarkStart w:id="797" w:name="_Toc127151546"/>
      <w:r/>
      <w:bookmarkStart w:id="798" w:name="_Toc151193788"/>
      <w:r/>
      <w:bookmarkStart w:id="799" w:name="_Toc226965819"/>
      <w:r/>
      <w:bookmarkStart w:id="800" w:name="_Toc164608660"/>
      <w:r/>
      <w:bookmarkStart w:id="801" w:name="_Toc195842911"/>
      <w:r/>
      <w:bookmarkStart w:id="802" w:name="_Toc520356170"/>
      <w:r/>
      <w:bookmarkStart w:id="803" w:name="_Toc150774646"/>
      <w:r/>
      <w:bookmarkStart w:id="804" w:name="_Toc151193860"/>
      <w:r/>
      <w:bookmarkStart w:id="805" w:name="_Ref467307010"/>
      <w:r/>
      <w:bookmarkStart w:id="806" w:name="_Toc164229241"/>
      <w:r/>
      <w:bookmarkStart w:id="807" w:name="_Toc127161460"/>
      <w:r/>
      <w:bookmarkStart w:id="808" w:name="_Toc226337242"/>
      <w:r/>
      <w:bookmarkStart w:id="809" w:name="_Toc151193934"/>
      <w:r/>
      <w:bookmarkStart w:id="810" w:name="_Toc226965736"/>
      <w:r/>
      <w:bookmarkStart w:id="811" w:name="_Toc151193644"/>
      <w:r/>
      <w:bookmarkStart w:id="812" w:name="_Toc264969236"/>
      <w:r/>
      <w:bookmarkStart w:id="813" w:name="_Toc1504807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2"/>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10"/>
        <w:gridCol w:w="881"/>
        <w:gridCol w:w="3839"/>
        <w:gridCol w:w="2352"/>
      </w:tblGrid>
      <w:tr>
        <w:trPr/>
        <w:tc>
          <w:tcPr>
            <w:tcW w:w="433" w:type="dxa"/>
            <w:vAlign w:val="center"/>
            <w:textDirection w:val="lrTb"/>
            <w:noWrap w:val="false"/>
          </w:tcPr>
          <w:p>
            <w:pPr>
              <w:pStyle w:val="1072"/>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59" w:type="dxa"/>
            <w:vAlign w:val="center"/>
            <w:textDirection w:val="lrTb"/>
            <w:noWrap w:val="false"/>
          </w:tcPr>
          <w:p>
            <w:pPr>
              <w:pStyle w:val="1072"/>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066" w:type="dxa"/>
            <w:vAlign w:val="center"/>
            <w:textDirection w:val="lrTb"/>
            <w:noWrap w:val="false"/>
          </w:tcPr>
          <w:p>
            <w:pPr>
              <w:pStyle w:val="1072"/>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66" w:type="dxa"/>
            <w:vAlign w:val="center"/>
            <w:textDirection w:val="lrTb"/>
            <w:noWrap w:val="false"/>
          </w:tcPr>
          <w:p>
            <w:pPr>
              <w:pStyle w:val="1316"/>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433" w:type="dxa"/>
            <w:vAlign w:val="center"/>
            <w:textDirection w:val="lrTb"/>
            <w:noWrap w:val="false"/>
          </w:tcPr>
          <w:p>
            <w:pPr>
              <w:pStyle w:val="1072"/>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25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针对本项目制定服务方案，包括但不限于维修保养规章制度与操作规范，维护保养范围和维护保养计划等比较：</w:t>
            </w:r>
            <w:r>
              <w:rPr>
                <w:rFonts w:hint="eastAsia" w:ascii="宋体" w:hAnsi="宋体" w:eastAsia="宋体" w:cs="宋体"/>
                <w:color w:val="000000"/>
                <w:sz w:val="24"/>
                <w:szCs w:val="24"/>
                <w:highlight w:val="none"/>
              </w:rPr>
            </w:r>
            <w:r/>
          </w:p>
          <w:p>
            <w:pPr>
              <w:pStyle w:val="125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方案清晰合理，并能及时响应和积极配合采购人的有关要求：对项目总体认识全面深刻，对设备维护保养工作把握准确，有较强的系统性、经济性和完全响应性的，得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5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对项目总体认识全面，对设备维护保养工作规范可行、完全响应采购人要求的，得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5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对项目总体认识基本正确，对设备维护保养工作基本合理、基本响应采购人要求的，得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5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对项目总体认识</w:t>
            </w:r>
            <w:r>
              <w:rPr>
                <w:rFonts w:hint="eastAsia" w:ascii="宋体" w:hAnsi="宋体" w:eastAsia="宋体" w:cs="宋体"/>
                <w:color w:val="000000"/>
                <w:sz w:val="24"/>
                <w:szCs w:val="24"/>
                <w:highlight w:val="none"/>
                <w:lang w:val="en-US" w:eastAsia="zh-CN"/>
              </w:rPr>
              <w:t xml:space="preserve">偏差较大</w:t>
            </w:r>
            <w:r>
              <w:rPr>
                <w:rFonts w:hint="eastAsia" w:ascii="宋体" w:hAnsi="宋体" w:eastAsia="宋体" w:cs="宋体"/>
                <w:color w:val="000000"/>
                <w:sz w:val="24"/>
                <w:szCs w:val="24"/>
                <w:highlight w:val="none"/>
              </w:rPr>
              <w:t xml:space="preserve">，对设备维护保养工作</w:t>
            </w:r>
            <w:r>
              <w:rPr>
                <w:rFonts w:hint="eastAsia" w:ascii="宋体" w:hAnsi="宋体" w:eastAsia="宋体" w:cs="宋体"/>
                <w:color w:val="000000"/>
                <w:sz w:val="24"/>
                <w:szCs w:val="24"/>
                <w:highlight w:val="none"/>
                <w:lang w:val="en-US" w:eastAsia="zh-CN"/>
              </w:rPr>
              <w:t xml:space="preserve">不太</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没有完全</w:t>
            </w:r>
            <w:r>
              <w:rPr>
                <w:rFonts w:hint="eastAsia" w:ascii="宋体" w:hAnsi="宋体" w:eastAsia="宋体" w:cs="宋体"/>
                <w:color w:val="000000"/>
                <w:sz w:val="24"/>
                <w:szCs w:val="24"/>
                <w:highlight w:val="none"/>
              </w:rPr>
              <w:t xml:space="preserve">响应采购人要求的，得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未作说明不得分。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操作规范方案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针对本项目提出操作规范方案，包括但不限于维护保养程序、维修设备工具、故障报告及故障预防措施、资料档案管理方案：</w:t>
            </w:r>
            <w:r>
              <w:rPr>
                <w:rFonts w:hint="eastAsia" w:ascii="宋体" w:hAnsi="宋体" w:eastAsia="宋体" w:cs="宋体"/>
                <w:color w:val="000000"/>
                <w:sz w:val="24"/>
                <w:szCs w:val="24"/>
                <w:highlight w:val="none"/>
              </w:rPr>
            </w:r>
            <w:r/>
          </w:p>
          <w:p>
            <w:pPr>
              <w:pStyle w:val="107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程序清晰规范高效、维修设备工具储备多更换及时、预防措施具有合理化建议、管理方案规范合理清晰责任明确的，得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107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程序规范合理、维修设备工具具有一定的储备、预防措施较合理、管理方案规范合理的，得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107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程序规范、维修设备工具基本满足需求、预防措施和管理方案较合理简单的，得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程序规范、维修设备工具</w:t>
            </w:r>
            <w:r>
              <w:rPr>
                <w:rFonts w:hint="eastAsia" w:ascii="宋体" w:hAnsi="宋体" w:eastAsia="宋体" w:cs="宋体"/>
                <w:color w:val="000000"/>
                <w:sz w:val="24"/>
                <w:szCs w:val="24"/>
                <w:highlight w:val="none"/>
                <w:lang w:val="en-US" w:eastAsia="zh-CN"/>
              </w:rPr>
              <w:t xml:space="preserve">不完全满足</w:t>
            </w:r>
            <w:r>
              <w:rPr>
                <w:rFonts w:hint="eastAsia" w:ascii="宋体" w:hAnsi="宋体" w:eastAsia="宋体" w:cs="宋体"/>
                <w:color w:val="000000"/>
                <w:sz w:val="24"/>
                <w:szCs w:val="24"/>
                <w:highlight w:val="none"/>
              </w:rPr>
              <w:t xml:space="preserve">需求、预防措施和管理方案</w:t>
            </w:r>
            <w:r>
              <w:rPr>
                <w:rFonts w:hint="eastAsia" w:ascii="宋体" w:hAnsi="宋体" w:eastAsia="宋体" w:cs="宋体"/>
                <w:color w:val="000000"/>
                <w:sz w:val="24"/>
                <w:szCs w:val="24"/>
                <w:highlight w:val="none"/>
                <w:lang w:val="en-US" w:eastAsia="zh-CN"/>
              </w:rPr>
              <w:t xml:space="preserve">模糊不清晰</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未作说明不得分。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70"/>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日常维护培训</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25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投标人需</w:t>
            </w:r>
            <w:r>
              <w:rPr>
                <w:rFonts w:hint="eastAsia" w:ascii="宋体" w:hAnsi="宋体" w:eastAsia="宋体" w:cs="宋体"/>
                <w:color w:val="000000"/>
                <w:sz w:val="24"/>
                <w:szCs w:val="24"/>
                <w:highlight w:val="none"/>
                <w:lang w:val="en-US" w:eastAsia="zh-CN"/>
              </w:rPr>
              <w:t xml:space="preserve">针对本项目维保期间的需求，提供日常维护培训方案</w:t>
            </w:r>
            <w:r>
              <w:rPr>
                <w:rFonts w:hint="eastAsia" w:ascii="宋体" w:hAnsi="宋体" w:eastAsia="宋体" w:cs="宋体"/>
                <w:color w:val="000000"/>
                <w:sz w:val="24"/>
                <w:szCs w:val="24"/>
                <w:highlight w:val="none"/>
                <w:lang w:val="en-US" w:eastAsia="zh-CN"/>
              </w:rPr>
              <w:t xml:space="preserve">，内容包括但不限于培训步骤、培训计划、培训内容等。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25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培训方案详尽，对提升临床应用水平、提高维修技术人员能力有显著帮助的，得</w:t>
            </w:r>
            <w:r>
              <w:rPr>
                <w:rFonts w:hint="eastAsia" w:ascii="宋体" w:hAnsi="宋体" w:eastAsia="宋体" w:cs="宋体"/>
                <w:color w:val="000000"/>
                <w:sz w:val="24"/>
                <w:szCs w:val="24"/>
                <w:highlight w:val="none"/>
                <w:lang w:val="en-US" w:eastAsia="zh-CN"/>
              </w:rPr>
              <w:t xml:space="preserve">10分；  </w:t>
            </w:r>
            <w:r>
              <w:rPr>
                <w:rFonts w:hint="eastAsia" w:ascii="宋体" w:hAnsi="宋体" w:eastAsia="宋体" w:cs="宋体"/>
                <w:color w:val="000000"/>
                <w:sz w:val="24"/>
                <w:szCs w:val="24"/>
                <w:highlight w:val="none"/>
                <w:lang w:eastAsia="zh-CN"/>
              </w:rPr>
            </w:r>
            <w:r/>
          </w:p>
          <w:p>
            <w:pPr>
              <w:pStyle w:val="125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培训方案比较完整，对提升临床应用水平、提高维修技术人员能力有一定帮助的，得</w:t>
            </w:r>
            <w:r>
              <w:rPr>
                <w:rFonts w:hint="eastAsia" w:ascii="宋体" w:hAnsi="宋体" w:eastAsia="宋体" w:cs="宋体"/>
                <w:color w:val="000000"/>
                <w:sz w:val="24"/>
                <w:szCs w:val="24"/>
                <w:highlight w:val="none"/>
                <w:lang w:val="en-US" w:eastAsia="zh-CN"/>
              </w:rPr>
              <w:t xml:space="preserve">7分；  </w:t>
            </w:r>
            <w:r>
              <w:rPr>
                <w:rFonts w:hint="eastAsia" w:ascii="宋体" w:hAnsi="宋体" w:eastAsia="宋体" w:cs="宋体"/>
                <w:color w:val="000000"/>
                <w:sz w:val="24"/>
                <w:szCs w:val="24"/>
                <w:highlight w:val="none"/>
                <w:lang w:eastAsia="zh-CN"/>
              </w:rPr>
            </w:r>
            <w:r/>
          </w:p>
          <w:p>
            <w:pPr>
              <w:pStyle w:val="125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培训方案</w:t>
            </w:r>
            <w:r>
              <w:rPr>
                <w:rFonts w:hint="eastAsia" w:ascii="宋体" w:hAnsi="宋体" w:eastAsia="宋体" w:cs="宋体"/>
                <w:color w:val="000000"/>
                <w:sz w:val="24"/>
                <w:szCs w:val="24"/>
                <w:highlight w:val="none"/>
                <w:lang w:val="en-US" w:eastAsia="zh-CN"/>
              </w:rPr>
              <w:t xml:space="preserve">不够全面，但对提升临床应用水平、提高维修技术人员能力有一定帮助的，得4分；  </w:t>
            </w:r>
            <w:r>
              <w:rPr>
                <w:rFonts w:hint="eastAsia" w:ascii="宋体" w:hAnsi="宋体" w:eastAsia="宋体" w:cs="宋体"/>
                <w:color w:val="000000"/>
                <w:sz w:val="24"/>
                <w:szCs w:val="24"/>
                <w:highlight w:val="none"/>
                <w:lang w:eastAsia="zh-CN"/>
              </w:rPr>
            </w:r>
            <w:r/>
          </w:p>
          <w:p>
            <w:pPr>
              <w:pStyle w:val="1250"/>
              <w:spacing w:line="360" w:lineRule="exact"/>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培训方案简略，对提升用户日常使用能力、提高维修人员技术水平无显著帮助的，得</w:t>
            </w:r>
            <w:r>
              <w:rPr>
                <w:rFonts w:hint="eastAsia" w:ascii="宋体" w:hAnsi="宋体" w:eastAsia="宋体" w:cs="宋体"/>
                <w:color w:val="000000"/>
                <w:sz w:val="24"/>
                <w:szCs w:val="24"/>
                <w:highlight w:val="none"/>
                <w:lang w:val="en-US" w:eastAsia="zh-CN"/>
              </w:rPr>
              <w:t xml:space="preserve">1分；  </w:t>
            </w:r>
            <w:r>
              <w:rPr>
                <w:rFonts w:hint="eastAsia" w:eastAsia="宋体"/>
                <w:color w:val="000000"/>
                <w:highlight w:val="none"/>
                <w:lang w:eastAsia="zh-CN"/>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内容较差或</w:t>
            </w:r>
            <w:r>
              <w:rPr>
                <w:rFonts w:hint="eastAsia" w:ascii="宋体" w:hAnsi="宋体" w:eastAsia="宋体" w:cs="宋体"/>
                <w:color w:val="000000"/>
                <w:sz w:val="24"/>
                <w:szCs w:val="24"/>
                <w:highlight w:val="none"/>
              </w:rPr>
              <w:t xml:space="preserve">未作说明</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检查计划</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eastAsia="宋体"/>
                <w:color w:val="000000"/>
                <w:highlight w:val="none"/>
                <w:lang w:eastAsia="zh-CN"/>
              </w:rPr>
            </w:pPr>
            <w:r>
              <w:rPr>
                <w:rFonts w:hint="eastAsia" w:ascii="宋体" w:hAnsi="宋体" w:eastAsia="宋体" w:cs="宋体"/>
                <w:color w:val="000000"/>
                <w:sz w:val="24"/>
                <w:szCs w:val="24"/>
                <w:highlight w:val="none"/>
                <w:lang w:val="en-US" w:eastAsia="zh-CN"/>
              </w:rPr>
              <w:t xml:space="preserve">投标人需</w:t>
            </w:r>
            <w:r>
              <w:rPr>
                <w:rFonts w:hint="eastAsia" w:ascii="宋体" w:hAnsi="宋体" w:eastAsia="宋体" w:cs="宋体"/>
                <w:color w:val="000000"/>
                <w:sz w:val="24"/>
                <w:szCs w:val="24"/>
                <w:highlight w:val="none"/>
                <w:lang w:val="en-US" w:eastAsia="zh-CN"/>
              </w:rPr>
              <w:t xml:space="preserve">针对本项目维保期间的需求，提供</w:t>
            </w:r>
            <w:r>
              <w:rPr>
                <w:rFonts w:hint="eastAsia" w:ascii="宋体" w:hAnsi="宋体" w:eastAsia="宋体" w:cs="宋体"/>
                <w:color w:val="000000"/>
                <w:sz w:val="24"/>
                <w:szCs w:val="24"/>
                <w:highlight w:val="none"/>
              </w:rPr>
              <w:t xml:space="preserve">检查计划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t xml:space="preserve">依据厂家设备标准及国家相关部门规范，制定包含机械安全检查、电气安全检查等内容的检查计划，并记录检查结果：  </w:t>
            </w:r>
            <w:r>
              <w:rPr>
                <w:rFonts w:hint="eastAsia" w:eastAsia="宋体"/>
                <w:color w:val="000000"/>
                <w:highlight w:val="none"/>
                <w:lang w:eastAsia="zh-CN"/>
              </w:rPr>
            </w:r>
            <w:r/>
          </w:p>
          <w:p>
            <w:pPr>
              <w:pStyle w:val="1072"/>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工作计划详细、时间明确、条理清晰且检查内容全面的，得</w:t>
            </w:r>
            <w:r>
              <w:rPr>
                <w:rFonts w:hint="eastAsia" w:ascii="宋体" w:hAnsi="宋体" w:eastAsia="宋体" w:cs="宋体"/>
                <w:color w:val="000000"/>
                <w:sz w:val="24"/>
                <w:szCs w:val="24"/>
                <w:highlight w:val="none"/>
                <w:lang w:val="en-US" w:eastAsia="zh-CN"/>
              </w:rPr>
              <w:t xml:space="preserve">10分；  </w:t>
            </w:r>
            <w:r>
              <w:rPr>
                <w:rFonts w:hint="eastAsia" w:eastAsia="宋体"/>
                <w:color w:val="000000"/>
                <w:highlight w:val="none"/>
                <w:lang w:eastAsia="zh-CN"/>
              </w:rPr>
            </w:r>
            <w:r/>
          </w:p>
          <w:p>
            <w:pPr>
              <w:pStyle w:val="1072"/>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w:t>
            </w:r>
            <w:r>
              <w:rPr>
                <w:rFonts w:hint="eastAsia" w:ascii="宋体" w:hAnsi="宋体" w:eastAsia="宋体" w:cs="宋体"/>
                <w:color w:val="000000"/>
                <w:sz w:val="24"/>
                <w:szCs w:val="24"/>
                <w:highlight w:val="none"/>
                <w:lang w:val="en-US" w:eastAsia="zh-CN"/>
              </w:rPr>
              <w:t xml:space="preserve">较为详细、条理较清晰且检查内容较为全面的，得7分；  </w:t>
            </w:r>
            <w:r>
              <w:rPr>
                <w:rFonts w:hint="eastAsia" w:eastAsia="宋体"/>
                <w:color w:val="000000"/>
                <w:highlight w:val="none"/>
                <w:lang w:eastAsia="zh-CN"/>
              </w:rPr>
            </w:r>
            <w:r/>
          </w:p>
          <w:p>
            <w:pPr>
              <w:pStyle w:val="1072"/>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工作计划一般、条理</w:t>
            </w:r>
            <w:r>
              <w:rPr>
                <w:rFonts w:hint="eastAsia" w:ascii="宋体" w:hAnsi="宋体" w:eastAsia="宋体" w:cs="宋体"/>
                <w:color w:val="000000"/>
                <w:sz w:val="24"/>
                <w:szCs w:val="24"/>
                <w:highlight w:val="none"/>
                <w:lang w:val="en-US" w:eastAsia="zh-CN"/>
              </w:rPr>
              <w:t xml:space="preserve">不够清晰且检查内容有欠缺的，得4分；  </w:t>
            </w:r>
            <w:r>
              <w:rPr>
                <w:rFonts w:hint="eastAsia" w:eastAsia="宋体"/>
                <w:color w:val="000000"/>
                <w:highlight w:val="none"/>
                <w:lang w:eastAsia="zh-CN"/>
              </w:rPr>
            </w:r>
            <w:r/>
          </w:p>
          <w:p>
            <w:pPr>
              <w:pStyle w:val="1072"/>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工作计划简单、时间模糊且检查内容粗略的，得</w:t>
            </w:r>
            <w:r>
              <w:rPr>
                <w:rFonts w:hint="eastAsia" w:ascii="宋体" w:hAnsi="宋体" w:eastAsia="宋体" w:cs="宋体"/>
                <w:color w:val="000000"/>
                <w:sz w:val="24"/>
                <w:szCs w:val="24"/>
                <w:highlight w:val="none"/>
                <w:lang w:val="en-US" w:eastAsia="zh-CN"/>
              </w:rPr>
              <w:t xml:space="preserve">1分；  </w:t>
            </w:r>
            <w:r>
              <w:rPr>
                <w:rFonts w:hint="eastAsia" w:eastAsia="宋体"/>
                <w:color w:val="000000"/>
                <w:highlight w:val="none"/>
                <w:lang w:eastAsia="zh-CN"/>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内容较差或未提供</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质量控制方案</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投标人需</w:t>
            </w:r>
            <w:r>
              <w:rPr>
                <w:rFonts w:hint="eastAsia" w:ascii="宋体" w:hAnsi="宋体" w:eastAsia="宋体" w:cs="宋体"/>
                <w:color w:val="000000"/>
                <w:sz w:val="24"/>
                <w:szCs w:val="24"/>
                <w:highlight w:val="none"/>
                <w:lang w:val="en-US" w:eastAsia="zh-CN"/>
              </w:rPr>
              <w:t xml:space="preserve">针对本项目维保期间的需求，</w:t>
            </w:r>
            <w:r>
              <w:rPr>
                <w:rFonts w:hint="eastAsia" w:ascii="宋体" w:hAnsi="宋体" w:eastAsia="宋体" w:cs="宋体"/>
                <w:color w:val="000000"/>
                <w:sz w:val="24"/>
                <w:szCs w:val="24"/>
                <w:highlight w:val="none"/>
              </w:rPr>
              <w:t xml:space="preserve">提供针对本项目所制定的质量控制方案：</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提供的措施质量目标明确、质量控制制度健全、质量保障措施完善的得10分；</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提供的措施质量目标较为明确，质量控制制度较全面、质量保障措施较完善的得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提供的措施质量目标基本明确，质量控制制度、质量保障措施基本可行的得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提供的措施质量目标模糊，质量控制制度一般、质量保障措施简单的得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内容较差或未提供不得分。</w:t>
            </w: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6" w:type="dxa"/>
            <w:vAlign w:val="center"/>
            <w:textDirection w:val="lrTb"/>
            <w:noWrap w:val="false"/>
          </w:tcPr>
          <w:p>
            <w:pPr>
              <w:pStyle w:val="1072"/>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33"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759" w:type="dxa"/>
            <w:vAlign w:val="center"/>
            <w:textDirection w:val="lrTb"/>
            <w:noWrap w:val="false"/>
          </w:tcPr>
          <w:p>
            <w:pPr>
              <w:pStyle w:val="1072"/>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技术响应</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072"/>
              <w:jc w:val="center"/>
              <w:rPr>
                <w:rFonts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ascii="宋体" w:hAnsi="宋体" w:eastAsia="宋体" w:cs="宋体"/>
                <w:bCs/>
                <w:color w:val="000000"/>
                <w:sz w:val="24"/>
                <w:szCs w:val="24"/>
                <w:highlight w:val="none"/>
                <w:lang w:val="en-US" w:eastAsia="zh-CN"/>
              </w:rPr>
            </w:pPr>
            <w:r>
              <w:rPr>
                <w:rFonts w:hint="eastAsia" w:ascii="宋体" w:hAnsi="宋体" w:cs="宋体"/>
                <w:color w:val="000000"/>
                <w:sz w:val="24"/>
                <w:highlight w:val="none"/>
                <w:lang w:val="zh-CN"/>
              </w:rPr>
              <w:t xml:space="preserve">完全满足招标文件“</w:t>
            </w:r>
            <w:r>
              <w:rPr>
                <w:rFonts w:hint="eastAsia" w:ascii="宋体" w:hAnsi="宋体" w:cs="宋体"/>
                <w:b/>
                <w:bCs/>
                <w:color w:val="000000"/>
                <w:sz w:val="24"/>
                <w:highlight w:val="none"/>
                <w:lang w:val="zh-CN"/>
              </w:rPr>
              <w:t xml:space="preserve">维保</w:t>
            </w:r>
            <w:r>
              <w:rPr>
                <w:rFonts w:hint="eastAsia" w:ascii="宋体" w:hAnsi="宋体" w:cs="宋体"/>
                <w:b/>
                <w:bCs/>
                <w:color w:val="000000"/>
                <w:sz w:val="24"/>
                <w:highlight w:val="none"/>
                <w:lang w:val="en-US" w:eastAsia="zh-CN"/>
              </w:rPr>
              <w:t xml:space="preserve">要求</w:t>
            </w:r>
            <w:r>
              <w:rPr>
                <w:rFonts w:hint="eastAsia" w:ascii="宋体" w:hAnsi="宋体" w:cs="宋体"/>
                <w:color w:val="000000"/>
                <w:sz w:val="24"/>
                <w:highlight w:val="none"/>
                <w:lang w:val="zh-CN"/>
              </w:rPr>
              <w:t xml:space="preserve">”的得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val="zh-CN"/>
              </w:rPr>
              <w:t xml:space="preserve">分；有</w:t>
            </w:r>
            <w:r>
              <w:rPr>
                <w:rFonts w:hint="eastAsia" w:ascii="宋体" w:hAnsi="宋体" w:cs="宋体"/>
                <w:color w:val="000000"/>
                <w:sz w:val="24"/>
                <w:highlight w:val="none"/>
                <w:lang w:val="en-US" w:eastAsia="zh-CN"/>
              </w:rPr>
              <w:t xml:space="preserve">任意</w:t>
            </w:r>
            <w:r>
              <w:rPr>
                <w:rFonts w:hint="eastAsia" w:ascii="宋体" w:hAnsi="宋体" w:cs="宋体"/>
                <w:color w:val="000000"/>
                <w:sz w:val="24"/>
                <w:highlight w:val="none"/>
                <w:lang w:val="zh-CN"/>
              </w:rPr>
              <w:t xml:space="preserve">一项负偏离</w:t>
            </w:r>
            <w:r>
              <w:rPr>
                <w:rFonts w:hint="eastAsia" w:ascii="宋体" w:hAnsi="宋体" w:cs="宋体"/>
                <w:color w:val="000000"/>
                <w:sz w:val="24"/>
                <w:highlight w:val="none"/>
                <w:lang w:val="en-US" w:eastAsia="zh-CN"/>
              </w:rPr>
              <w:t xml:space="preserve">本项不得分</w:t>
            </w:r>
            <w:r>
              <w:rPr>
                <w:rFonts w:hint="eastAsia" w:ascii="宋体" w:hAnsi="宋体" w:cs="宋体"/>
                <w:color w:val="000000"/>
                <w:sz w:val="24"/>
                <w:highlight w:val="none"/>
                <w:lang w:val="zh-CN"/>
              </w:rPr>
              <w:t xml:space="preserve">。</w:t>
            </w:r>
            <w:r>
              <w:rPr>
                <w:rFonts w:hint="eastAsia" w:ascii="宋体" w:hAnsi="宋体" w:eastAsia="宋体" w:cs="宋体"/>
                <w:bCs/>
                <w:color w:val="000000"/>
                <w:sz w:val="24"/>
                <w:szCs w:val="24"/>
                <w:highlight w:val="none"/>
                <w:lang w:val="en-US" w:eastAsia="zh-CN"/>
              </w:rPr>
            </w:r>
            <w:r/>
          </w:p>
        </w:tc>
        <w:tc>
          <w:tcPr>
            <w:tcW w:w="1266" w:type="dxa"/>
            <w:vAlign w:val="center"/>
            <w:textDirection w:val="lrTb"/>
            <w:noWrap w:val="false"/>
          </w:tcPr>
          <w:p>
            <w:pPr>
              <w:pStyle w:val="1072"/>
              <w:ind w:left="-38"/>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433"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bidi="ar-SA"/>
              </w:rPr>
            </w:r>
            <w:r/>
          </w:p>
        </w:tc>
        <w:tc>
          <w:tcPr>
            <w:tcW w:w="474"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bidi="ar-SA"/>
              </w:rPr>
            </w:r>
            <w:r/>
          </w:p>
        </w:tc>
        <w:tc>
          <w:tcPr>
            <w:tcW w:w="2066" w:type="dxa"/>
            <w:vAlign w:val="center"/>
            <w:textDirection w:val="lrTb"/>
            <w:noWrap w:val="false"/>
          </w:tcPr>
          <w:p>
            <w:pPr>
              <w:pStyle w:val="107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年1月1日以来承接的</w:t>
            </w:r>
            <w:r>
              <w:rPr>
                <w:rFonts w:hint="eastAsia" w:ascii="宋体" w:hAnsi="宋体" w:eastAsia="宋体" w:cs="宋体"/>
                <w:color w:val="000000"/>
                <w:sz w:val="24"/>
                <w:szCs w:val="24"/>
                <w:highlight w:val="none"/>
                <w:lang w:val="en-US"/>
              </w:rPr>
              <w:t xml:space="preserve">飞利浦DSA</w:t>
            </w:r>
            <w:r>
              <w:rPr>
                <w:rFonts w:hint="eastAsia" w:ascii="宋体" w:hAnsi="宋体" w:eastAsia="宋体" w:cs="宋体"/>
                <w:color w:val="000000"/>
                <w:sz w:val="24"/>
                <w:szCs w:val="24"/>
                <w:highlight w:val="none"/>
              </w:rPr>
              <w:t xml:space="preserve">设备维保合同，每提供1份得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1266" w:type="dxa"/>
            <w:vAlign w:val="center"/>
            <w:textDirection w:val="lrTb"/>
            <w:noWrap w:val="false"/>
          </w:tcPr>
          <w:p>
            <w:pPr>
              <w:pStyle w:val="107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提供合同扫描件，时间以合同签订时间为准。</w:t>
            </w:r>
            <w:r>
              <w:rPr>
                <w:rFonts w:hint="eastAsia" w:ascii="宋体" w:hAnsi="宋体" w:eastAsia="宋体" w:cs="宋体"/>
                <w:color w:val="000000"/>
                <w:sz w:val="24"/>
                <w:szCs w:val="24"/>
                <w:highlight w:val="none"/>
                <w:lang w:val="en-US" w:eastAsia="zh-CN" w:bidi="ar-SA"/>
              </w:rPr>
            </w:r>
            <w:r/>
          </w:p>
          <w:p>
            <w:pPr>
              <w:pStyle w:val="1072"/>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注：上述业绩不得重复得分，同一合同甲方</w:t>
            </w:r>
            <w:r>
              <w:rPr>
                <w:rFonts w:hint="eastAsia" w:ascii="宋体" w:hAnsi="宋体" w:eastAsia="宋体" w:cs="宋体"/>
                <w:color w:val="000000"/>
                <w:sz w:val="24"/>
                <w:szCs w:val="24"/>
                <w:highlight w:val="none"/>
                <w:lang w:val="en-US" w:eastAsia="zh-CN"/>
              </w:rPr>
              <w:t xml:space="preserve">不同年度的合同按一份计算。</w:t>
            </w:r>
            <w:r>
              <w:rPr>
                <w:rFonts w:hint="eastAsia" w:ascii="宋体" w:hAnsi="宋体" w:eastAsia="宋体" w:cs="宋体"/>
                <w:color w:val="000000"/>
                <w:sz w:val="24"/>
                <w:szCs w:val="24"/>
                <w:highlight w:val="none"/>
                <w:lang w:val="en-US" w:eastAsia="zh-CN" w:bidi="ar-SA"/>
              </w:rPr>
            </w:r>
            <w:r/>
          </w:p>
        </w:tc>
      </w:tr>
      <w:tr>
        <w:trPr/>
        <w:tc>
          <w:tcPr>
            <w:tcW w:w="433"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jc w:val="center"/>
              <w:spacing w:line="2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技术支持</w:t>
            </w:r>
            <w:r>
              <w:rPr>
                <w:rFonts w:hint="eastAsia" w:ascii="宋体" w:hAnsi="宋体" w:cs="宋体"/>
                <w:color w:val="000000"/>
                <w:sz w:val="24"/>
                <w:highlight w:val="none"/>
              </w:rPr>
            </w:r>
            <w:r/>
          </w:p>
        </w:tc>
        <w:tc>
          <w:tcPr>
            <w:tcW w:w="474" w:type="dxa"/>
            <w:vAlign w:val="center"/>
            <w:textDirection w:val="lrTb"/>
            <w:noWrap w:val="false"/>
          </w:tcPr>
          <w:p>
            <w:pPr>
              <w:pStyle w:val="1072"/>
              <w:jc w:val="center"/>
              <w:spacing w:line="2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066" w:type="dxa"/>
            <w:vAlign w:val="center"/>
            <w:textDirection w:val="lrTb"/>
            <w:noWrap w:val="false"/>
          </w:tcPr>
          <w:p>
            <w:pPr>
              <w:pStyle w:val="1072"/>
              <w:spacing w:line="240" w:lineRule="atLeast"/>
              <w:rPr>
                <w:rFonts w:hint="eastAsia" w:hAnsi="宋体" w:cs="宋体"/>
                <w:b w:val="0"/>
                <w:color w:val="000000"/>
                <w:szCs w:val="24"/>
                <w:highlight w:val="none"/>
                <w:u w:val="none"/>
              </w:rPr>
            </w:pPr>
            <w:r>
              <w:rPr>
                <w:rFonts w:hint="eastAsia" w:ascii="宋体" w:hAnsi="宋体" w:cs="宋体"/>
                <w:color w:val="000000"/>
                <w:sz w:val="24"/>
                <w:highlight w:val="none"/>
              </w:rPr>
              <w:t xml:space="preserve">供应商具备生产厂家的维修授权，或者与生产厂家签署维修服务合作协议，得5分。</w:t>
            </w:r>
            <w:r>
              <w:rPr>
                <w:rFonts w:hint="eastAsia" w:hAnsi="宋体" w:cs="宋体"/>
                <w:b w:val="0"/>
                <w:color w:val="000000"/>
                <w:szCs w:val="24"/>
                <w:highlight w:val="none"/>
                <w:u w:val="none"/>
              </w:rPr>
            </w:r>
            <w:r/>
          </w:p>
        </w:tc>
        <w:tc>
          <w:tcPr>
            <w:tcW w:w="1266"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t xml:space="preserve">提供原生产厂家证明或者生产厂家维修授权或者与生产厂家签署维修服务合作协议扫描件</w:t>
            </w:r>
            <w:r>
              <w:rPr>
                <w:rFonts w:hint="eastAsia" w:ascii="宋体" w:hAnsi="宋体" w:cs="宋体"/>
                <w:color w:val="000000"/>
                <w:sz w:val="24"/>
                <w:highlight w:val="none"/>
              </w:rPr>
            </w:r>
            <w:r/>
          </w:p>
        </w:tc>
      </w:tr>
      <w:tr>
        <w:trPr/>
        <w:tc>
          <w:tcPr>
            <w:tcW w:w="433"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val="zh-CN"/>
              </w:rPr>
              <w:t xml:space="preserve">备件仓库</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072"/>
              <w:jc w:val="center"/>
              <w:rPr>
                <w:rFonts w:hint="eastAsia" w:ascii="宋体" w:hAnsi="宋体" w:eastAsia="宋体" w:cs="宋体"/>
                <w:color w:val="000000"/>
                <w:sz w:val="24"/>
                <w:szCs w:val="24"/>
                <w:highlight w:val="none"/>
                <w:lang w:val="en-US" w:eastAsia="zh-CN"/>
              </w:rPr>
            </w:pPr>
            <w:r>
              <w:rPr>
                <w:rFonts w:ascii="宋体" w:hAnsi="宋体" w:cs="宋体"/>
                <w:color w:val="000000"/>
                <w:sz w:val="24"/>
                <w:highlight w:val="none"/>
              </w:rPr>
              <w:t xml:space="preserve">5</w:t>
            </w:r>
            <w:r>
              <w:rPr>
                <w:rFonts w:hint="eastAsia"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rPr>
                <w:rFonts w:hint="eastAsia" w:ascii="宋体" w:hAnsi="宋体" w:eastAsia="宋体" w:cs="宋体"/>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bidi="ar-SA"/>
              </w:rPr>
              <w:t xml:space="preserve">具备零备件及仓储能力，同时提供</w:t>
            </w:r>
            <w:r>
              <w:rPr>
                <w:rFonts w:hint="eastAsia" w:ascii="宋体" w:hAnsi="宋体" w:cs="宋体"/>
                <w:color w:val="000000"/>
                <w:sz w:val="24"/>
                <w:highlight w:val="none"/>
                <w:lang w:val="en-US" w:eastAsia="zh-CN"/>
              </w:rPr>
              <w:t xml:space="preserve">零备件即</w:t>
            </w:r>
            <w:r>
              <w:rPr>
                <w:rFonts w:hint="eastAsia" w:ascii="宋体" w:hAnsi="宋体" w:eastAsia="宋体" w:cs="Times New Roman"/>
                <w:b w:val="0"/>
                <w:bCs/>
                <w:color w:val="000000"/>
                <w:sz w:val="24"/>
                <w:szCs w:val="24"/>
                <w:highlight w:val="none"/>
                <w:lang w:val="en-US" w:eastAsia="zh-CN" w:bidi="ar-SA"/>
              </w:rPr>
              <w:t xml:space="preserve">同型号球管或平板探测器等1年内的报关单或采购合同，得5分。</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072"/>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提供仓库地址、对应场地的照片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产权证（或租赁合同）和照片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72"/>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②提供零备件即</w:t>
            </w:r>
            <w:r>
              <w:rPr>
                <w:rFonts w:hint="eastAsia" w:ascii="宋体" w:hAnsi="宋体" w:eastAsia="宋体" w:cs="Times New Roman"/>
                <w:b w:val="0"/>
                <w:bCs/>
                <w:color w:val="000000"/>
                <w:sz w:val="24"/>
                <w:szCs w:val="24"/>
                <w:highlight w:val="none"/>
                <w:lang w:val="en-US" w:eastAsia="zh-CN" w:bidi="ar-SA"/>
              </w:rPr>
              <w:t xml:space="preserve">同型号球管或平板探测器等1年内的报关单或采购合同。</w:t>
            </w:r>
            <w:r>
              <w:rPr>
                <w:rFonts w:ascii="宋体" w:hAnsi="宋体" w:cs="宋体"/>
                <w:color w:val="000000"/>
                <w:sz w:val="24"/>
                <w:highlight w:val="none"/>
                <w:lang w:val="en-US" w:eastAsia="zh-CN"/>
              </w:rPr>
            </w:r>
            <w:r/>
          </w:p>
        </w:tc>
      </w:tr>
      <w:tr>
        <w:trPr/>
        <w:tc>
          <w:tcPr>
            <w:tcW w:w="433" w:type="dxa"/>
            <w:vAlign w:val="center"/>
            <w:textDirection w:val="lrTb"/>
            <w:noWrap w:val="false"/>
          </w:tcPr>
          <w:p>
            <w:pPr>
              <w:pStyle w:val="107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tc>
        <w:tc>
          <w:tcPr>
            <w:tcW w:w="759" w:type="dxa"/>
            <w:vAlign w:val="center"/>
            <w:textDirection w:val="lrTb"/>
            <w:noWrap w:val="false"/>
          </w:tcPr>
          <w:p>
            <w:pPr>
              <w:pStyle w:val="1072"/>
              <w:jc w:val="center"/>
              <w:spacing w:line="240" w:lineRule="atLeast"/>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技术团队实力</w:t>
            </w:r>
            <w:r>
              <w:rPr>
                <w:rFonts w:hint="eastAsia" w:ascii="宋体" w:hAnsi="宋体" w:eastAsia="宋体" w:cs="宋体"/>
                <w:color w:val="000000"/>
                <w:sz w:val="24"/>
                <w:szCs w:val="24"/>
                <w:highlight w:val="none"/>
                <w:lang w:val="en-US" w:eastAsia="zh-CN"/>
              </w:rPr>
            </w:r>
            <w:r/>
          </w:p>
        </w:tc>
        <w:tc>
          <w:tcPr>
            <w:tcW w:w="474" w:type="dxa"/>
            <w:vAlign w:val="center"/>
            <w:textDirection w:val="lrTb"/>
            <w:noWrap w:val="false"/>
          </w:tcPr>
          <w:p>
            <w:pPr>
              <w:pStyle w:val="1072"/>
              <w:jc w:val="center"/>
              <w:spacing w:line="24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066" w:type="dxa"/>
            <w:vAlign w:val="center"/>
            <w:textDirection w:val="lrTb"/>
            <w:noWrap w:val="false"/>
          </w:tcPr>
          <w:p>
            <w:pPr>
              <w:pStyle w:val="1072"/>
              <w:spacing w:line="2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供应商拟配备的</w:t>
            </w:r>
            <w:r>
              <w:rPr>
                <w:rFonts w:hint="eastAsia" w:ascii="宋体" w:hAnsi="宋体"/>
                <w:color w:val="000000"/>
                <w:sz w:val="24"/>
                <w:highlight w:val="none"/>
              </w:rPr>
              <w:t xml:space="preserve">专职</w:t>
            </w:r>
            <w:r>
              <w:rPr>
                <w:rFonts w:hint="eastAsia" w:ascii="宋体" w:hAnsi="宋体" w:eastAsia="宋体" w:cs="宋体"/>
                <w:color w:val="000000"/>
                <w:sz w:val="24"/>
                <w:szCs w:val="24"/>
                <w:highlight w:val="none"/>
                <w:lang w:val="en-US"/>
              </w:rPr>
              <w:t xml:space="preserve">DSA</w:t>
            </w:r>
            <w:r>
              <w:rPr>
                <w:rFonts w:hint="eastAsia" w:ascii="宋体" w:hAnsi="宋体"/>
                <w:color w:val="000000"/>
                <w:sz w:val="24"/>
                <w:highlight w:val="none"/>
              </w:rPr>
              <w:t xml:space="preserve">维修工程师</w:t>
            </w:r>
            <w:r>
              <w:rPr>
                <w:rFonts w:hint="eastAsia" w:ascii="宋体" w:hAnsi="宋体" w:cs="宋体"/>
                <w:color w:val="000000"/>
                <w:sz w:val="24"/>
                <w:highlight w:val="none"/>
              </w:rPr>
              <w:t xml:space="preserve">，接受过原厂培训且持有相关上岗证书的，每有1人2分，满分</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5"/>
              <w:spacing w:before="0" w:after="0" w:line="240" w:lineRule="atLeast"/>
              <w:rPr>
                <w:rFonts w:hint="eastAsia" w:ascii="宋体" w:hAnsi="宋体" w:eastAsia="宋体" w:cs="宋体"/>
                <w:color w:val="000000"/>
                <w:sz w:val="24"/>
                <w:szCs w:val="24"/>
                <w:highlight w:val="none"/>
                <w:lang w:val="en-US" w:eastAsia="zh-CN"/>
              </w:rPr>
            </w:pPr>
            <w:r>
              <w:rPr>
                <w:rFonts w:hint="eastAsia" w:hAnsi="宋体" w:cs="宋体"/>
                <w:b w:val="0"/>
                <w:color w:val="000000"/>
                <w:szCs w:val="24"/>
                <w:highlight w:val="none"/>
                <w:u w:val="none"/>
              </w:rPr>
              <w:t xml:space="preserve">注：维修工程师均为接受过原厂培训且持有相关上岗证书</w:t>
            </w:r>
            <w:r>
              <w:rPr>
                <w:rFonts w:hint="eastAsia" w:hAnsi="宋体" w:cs="宋体"/>
                <w:b w:val="0"/>
                <w:color w:val="000000"/>
                <w:szCs w:val="24"/>
                <w:highlight w:val="none"/>
                <w:u w:val="none"/>
                <w:lang w:eastAsia="zh-CN"/>
              </w:rPr>
              <w:t xml:space="preserve">。</w:t>
            </w:r>
            <w:r>
              <w:rPr>
                <w:rFonts w:hint="eastAsia" w:ascii="宋体" w:hAnsi="宋体" w:eastAsia="宋体" w:cs="宋体"/>
                <w:color w:val="000000"/>
                <w:sz w:val="24"/>
                <w:szCs w:val="24"/>
                <w:highlight w:val="none"/>
                <w:lang w:val="en-US" w:eastAsia="zh-CN"/>
              </w:rPr>
            </w:r>
            <w:r/>
          </w:p>
        </w:tc>
        <w:tc>
          <w:tcPr>
            <w:tcW w:w="1266" w:type="dxa"/>
            <w:vAlign w:val="center"/>
            <w:textDirection w:val="lrTb"/>
            <w:noWrap w:val="false"/>
          </w:tcPr>
          <w:p>
            <w:pPr>
              <w:pStyle w:val="1072"/>
              <w:spacing w:line="240" w:lineRule="atLeas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提供人员相关证书复印件并加盖公章，无则不得分。</w:t>
            </w:r>
            <w:r>
              <w:rPr>
                <w:rFonts w:hint="eastAsia" w:ascii="宋体" w:hAnsi="宋体" w:eastAsia="宋体" w:cs="宋体"/>
                <w:color w:val="000000"/>
                <w:sz w:val="24"/>
                <w:szCs w:val="24"/>
                <w:highlight w:val="none"/>
                <w:lang w:val="en-US" w:eastAsia="zh-CN" w:bidi="ar-SA"/>
              </w:rPr>
            </w:r>
            <w:r/>
          </w:p>
        </w:tc>
      </w:tr>
      <w:tr>
        <w:trPr/>
        <w:tc>
          <w:tcPr>
            <w:gridSpan w:val="2"/>
            <w:tcW w:w="2214"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74" w:type="dxa"/>
            <w:vAlign w:val="center"/>
            <w:textDirection w:val="lrTb"/>
            <w:noWrap w:val="false"/>
          </w:tcPr>
          <w:p>
            <w:pPr>
              <w:pStyle w:val="1072"/>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191" w:type="dxa"/>
            <w:vAlign w:val="center"/>
            <w:textDirection w:val="lrTb"/>
            <w:noWrap w:val="false"/>
          </w:tcPr>
          <w:p>
            <w:pPr>
              <w:pStyle w:val="107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72"/>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contextualSpacing/>
        <w:spacing w:line="360" w:lineRule="auto"/>
        <w:rPr>
          <w:rFonts w:ascii="宋体" w:hAnsi="宋体"/>
          <w:sz w:val="24"/>
        </w:rPr>
      </w:pPr>
      <w:r>
        <w:rPr>
          <w:rFonts w:ascii="宋体" w:hAnsi="宋体"/>
          <w:sz w:val="24"/>
        </w:rPr>
      </w:r>
      <w:r/>
    </w:p>
    <w:p>
      <w:pPr>
        <w:pStyle w:val="1166"/>
        <w:numPr>
          <w:ilvl w:val="0"/>
          <w:numId w:val="0"/>
        </w:numPr>
        <w:contextualSpacing/>
        <w:ind w:left="-2" w:firstLine="482"/>
        <w:spacing w:line="360" w:lineRule="auto"/>
        <w:tabs>
          <w:tab w:val="left" w:pos="567" w:leader="none"/>
        </w:tabs>
        <w:rPr>
          <w:rFonts w:ascii="宋体" w:hAnsi="宋体" w:eastAsia="宋体" w:cs="Times New Roman"/>
          <w:b w:val="0"/>
          <w:bCs/>
          <w:color w:val="000000"/>
          <w:sz w:val="24"/>
          <w:szCs w:val="24"/>
          <w:highlight w:val="none"/>
          <w:lang w:val="en-US" w:eastAsia="zh-CN"/>
        </w:rPr>
      </w:pPr>
      <w:r>
        <w:rPr>
          <w:rFonts w:ascii="宋体" w:hAnsi="宋体"/>
          <w:b/>
          <w:color w:val="000000"/>
          <w:sz w:val="24"/>
          <w:szCs w:val="24"/>
          <w:highlight w:val="none"/>
          <w:lang w:val="en-US" w:eastAsia="zh-CN" w:bidi="ar-SA"/>
        </w:rPr>
        <w:t xml:space="preserve">一、</w:t>
      </w:r>
      <w:r>
        <w:rPr>
          <w:rFonts w:hint="eastAsia" w:ascii="宋体" w:hAnsi="宋体"/>
          <w:b/>
          <w:color w:val="000000"/>
          <w:sz w:val="24"/>
          <w:szCs w:val="24"/>
          <w:highlight w:val="none"/>
          <w:lang w:val="en-US" w:eastAsia="zh-CN"/>
        </w:rPr>
        <w:t xml:space="preserve">项目概况</w:t>
      </w:r>
      <w:r>
        <w:rPr>
          <w:rFonts w:ascii="宋体" w:hAnsi="宋体" w:eastAsia="宋体" w:cs="Times New Roman"/>
          <w:b w:val="0"/>
          <w:bCs/>
          <w:color w:val="000000"/>
          <w:sz w:val="24"/>
          <w:szCs w:val="24"/>
          <w:highlight w:val="none"/>
          <w:lang w:val="en-US" w:eastAsia="zh-CN"/>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常州市第二人民医院飞利浦DSA维保服务项目。</w:t>
      </w:r>
      <w:r>
        <w:rPr>
          <w:rFonts w:hint="eastAsia" w:ascii="宋体" w:hAnsi="宋体" w:eastAsia="宋体" w:cs="Times New Roman"/>
          <w:b w:val="0"/>
          <w:bCs/>
          <w:color w:val="000000"/>
          <w:sz w:val="24"/>
          <w:szCs w:val="24"/>
          <w:highlight w:val="none"/>
          <w:lang w:val="en-US" w:eastAsia="zh-CN"/>
        </w:rPr>
      </w:r>
      <w:r/>
    </w:p>
    <w:p>
      <w:pPr>
        <w:pStyle w:val="1166"/>
        <w:numPr>
          <w:ilvl w:val="0"/>
          <w:numId w:val="0"/>
        </w:numPr>
        <w:contextualSpacing/>
        <w:ind w:left="-2" w:firstLine="480"/>
        <w:spacing w:line="360" w:lineRule="auto"/>
        <w:tabs>
          <w:tab w:val="left" w:pos="567" w:leader="none"/>
        </w:tabs>
        <w:rPr>
          <w:rFonts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维保设备：2台</w:t>
      </w:r>
      <w:r>
        <w:rPr>
          <w:rFonts w:ascii="宋体" w:hAnsi="宋体" w:eastAsia="宋体" w:cs="Times New Roman"/>
          <w:b w:val="0"/>
          <w:bCs/>
          <w:color w:val="000000"/>
          <w:sz w:val="24"/>
          <w:szCs w:val="24"/>
          <w:highlight w:val="none"/>
          <w:lang w:val="en-US" w:eastAsia="zh-CN"/>
        </w:rPr>
        <w:t xml:space="preserve">飞利浦DSA</w:t>
      </w:r>
      <w:r>
        <w:rPr>
          <w:rFonts w:hint="eastAsia" w:ascii="宋体" w:hAnsi="宋体" w:eastAsia="宋体" w:cs="Times New Roman"/>
          <w:b w:val="0"/>
          <w:bCs/>
          <w:color w:val="000000"/>
          <w:sz w:val="24"/>
          <w:szCs w:val="24"/>
          <w:highlight w:val="none"/>
          <w:lang w:val="en-US" w:eastAsia="zh-CN"/>
        </w:rPr>
        <w:t xml:space="preserve">（设备型号：</w:t>
      </w:r>
      <w:r>
        <w:rPr>
          <w:rFonts w:hint="eastAsia" w:ascii="Times New Roman" w:hAnsi="Times New Roman" w:eastAsia="宋体" w:cs="Times New Roman"/>
          <w:color w:val="000000"/>
          <w:szCs w:val="21"/>
          <w:highlight w:val="none"/>
          <w:lang w:val="zh-CN"/>
        </w:rPr>
        <w:t xml:space="preserve">FD20</w:t>
      </w:r>
      <w:r>
        <w:rPr>
          <w:rFonts w:hint="eastAsia" w:ascii="宋体" w:hAnsi="宋体" w:eastAsia="宋体" w:cs="Times New Roman"/>
          <w:b w:val="0"/>
          <w:bCs/>
          <w:color w:val="000000"/>
          <w:sz w:val="24"/>
          <w:szCs w:val="24"/>
          <w:highlight w:val="none"/>
          <w:lang w:val="en-US" w:eastAsia="zh-CN"/>
        </w:rPr>
        <w:t xml:space="preserve">）</w:t>
      </w:r>
      <w:r>
        <w:rPr>
          <w:rFonts w:ascii="宋体" w:hAnsi="宋体" w:eastAsia="宋体" w:cs="Times New Roman"/>
          <w:b w:val="0"/>
          <w:bCs/>
          <w:color w:val="000000"/>
          <w:sz w:val="24"/>
          <w:szCs w:val="24"/>
          <w:highlight w:val="none"/>
          <w:lang w:val="en-US" w:eastAsia="zh-CN"/>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维保类型：全保服务。</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二、</w:t>
      </w:r>
      <w:r>
        <w:rPr>
          <w:rFonts w:ascii="宋体" w:hAnsi="宋体"/>
          <w:b/>
          <w:color w:val="000000"/>
          <w:sz w:val="24"/>
          <w:szCs w:val="24"/>
          <w:highlight w:val="none"/>
        </w:rPr>
        <w:t xml:space="preserve">商务要求</w:t>
      </w:r>
      <w:r>
        <w:rPr>
          <w:rFonts w:ascii="宋体" w:hAnsi="宋体"/>
          <w:b/>
          <w:color w:val="000000"/>
          <w:sz w:val="24"/>
          <w:szCs w:val="24"/>
          <w:highlight w:val="none"/>
        </w:rPr>
      </w:r>
      <w:r/>
    </w:p>
    <w:p>
      <w:pPr>
        <w:pStyle w:val="1166"/>
        <w:numPr>
          <w:ilvl w:val="0"/>
          <w:numId w:val="0"/>
        </w:numPr>
        <w:contextualSpacing/>
        <w:ind w:left="-2" w:firstLine="480"/>
        <w:spacing w:line="360" w:lineRule="auto"/>
        <w:tabs>
          <w:tab w:val="left" w:pos="567" w:leader="none"/>
        </w:tabs>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1.服务期限：三年，合同一年一签。</w:t>
      </w:r>
      <w:r>
        <w:rPr>
          <w:rFonts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2.付款条件（进度和方式）</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ascii="宋体" w:hAnsi="宋体"/>
          <w:b w:val="0"/>
          <w:bCs/>
          <w:color w:val="000000"/>
          <w:sz w:val="24"/>
          <w:szCs w:val="24"/>
          <w:highlight w:val="none"/>
          <w:lang w:val="en-US" w:eastAsia="zh-CN" w:bidi="ar-SA"/>
        </w:rPr>
        <w:t xml:space="preserve">维保费用按年度结算。维保费用在该年度服务开始后一个月内支付。</w:t>
      </w:r>
      <w:r>
        <w:rPr>
          <w:rFonts w:ascii="宋体" w:hAnsi="宋体"/>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ascii="宋体" w:hAnsi="宋体"/>
          <w:b w:val="0"/>
          <w:bCs/>
          <w:color w:val="000000"/>
          <w:sz w:val="24"/>
          <w:szCs w:val="24"/>
          <w:highlight w:val="none"/>
          <w:lang w:val="en-US" w:eastAsia="zh-CN" w:bidi="ar-SA"/>
        </w:rPr>
        <w:t xml:space="preserve">付款前</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应开具正式增值税发票。因</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原因未及时提供发票导致不能支付的，相应责任由</w:t>
      </w:r>
      <w:r>
        <w:rPr>
          <w:rFonts w:hint="eastAsia" w:ascii="宋体" w:hAnsi="宋体"/>
          <w:b w:val="0"/>
          <w:bCs/>
          <w:color w:val="000000"/>
          <w:sz w:val="24"/>
          <w:szCs w:val="24"/>
          <w:highlight w:val="none"/>
          <w:lang w:val="en-US" w:eastAsia="zh-CN" w:bidi="ar-SA"/>
        </w:rPr>
        <w:t xml:space="preserve">中标人</w:t>
      </w:r>
      <w:r>
        <w:rPr>
          <w:rFonts w:ascii="宋体" w:hAnsi="宋体"/>
          <w:b w:val="0"/>
          <w:bCs/>
          <w:color w:val="000000"/>
          <w:sz w:val="24"/>
          <w:szCs w:val="24"/>
          <w:highlight w:val="none"/>
          <w:lang w:val="en-US" w:eastAsia="zh-CN" w:bidi="ar-SA"/>
        </w:rPr>
        <w:t xml:space="preserve">负责。</w:t>
      </w:r>
      <w:r>
        <w:rPr>
          <w:rFonts w:ascii="宋体" w:hAnsi="宋体"/>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3.报价要求</w:t>
      </w:r>
      <w:r>
        <w:rPr>
          <w:rFonts w:hint="eastAsia" w:ascii="宋体" w:hAnsi="宋体" w:eastAsia="宋体" w:cs="Times New Roman"/>
          <w:b/>
          <w:color w:val="000000"/>
          <w:sz w:val="24"/>
          <w:szCs w:val="24"/>
          <w:highlight w:val="none"/>
          <w:lang w:val="en-US" w:eastAsia="zh-CN" w:bidi="ar-SA"/>
        </w:rPr>
      </w:r>
      <w:r/>
    </w:p>
    <w:p>
      <w:pPr>
        <w:pStyle w:val="1166"/>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highlight w:val="none"/>
        </w:rPr>
      </w:r>
      <w:r/>
    </w:p>
    <w:p>
      <w:pPr>
        <w:pStyle w:val="1166"/>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hint="eastAsia" w:ascii="宋体" w:hAnsi="宋体" w:cs="宋体"/>
          <w:color w:val="000000"/>
          <w:sz w:val="24"/>
          <w:szCs w:val="24"/>
          <w:highlight w:val="none"/>
        </w:rPr>
        <w:t xml:space="preserve">报价货币为人民币，评审时以人民币为准。</w:t>
      </w:r>
      <w:r>
        <w:rPr>
          <w:rFonts w:ascii="宋体" w:hAnsi="宋体"/>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三、</w:t>
      </w:r>
      <w:r>
        <w:rPr>
          <w:rFonts w:hint="eastAsia" w:ascii="宋体" w:hAnsi="宋体"/>
          <w:b/>
          <w:color w:val="000000"/>
          <w:sz w:val="24"/>
          <w:szCs w:val="24"/>
          <w:highlight w:val="none"/>
          <w:lang w:val="en-US" w:eastAsia="zh-CN" w:bidi="ar-SA"/>
        </w:rPr>
        <w:t xml:space="preserve">维保</w:t>
      </w:r>
      <w:r>
        <w:rPr>
          <w:rFonts w:ascii="宋体" w:hAnsi="宋体"/>
          <w:b/>
          <w:color w:val="000000"/>
          <w:sz w:val="24"/>
          <w:szCs w:val="24"/>
          <w:highlight w:val="none"/>
          <w:lang w:val="en-US" w:eastAsia="zh-CN" w:bidi="ar-SA"/>
        </w:rPr>
        <w:t xml:space="preserve">要求</w:t>
      </w:r>
      <w:r>
        <w:rPr>
          <w:rFonts w:ascii="宋体" w:hAnsi="宋体"/>
          <w:b/>
          <w:color w:val="000000"/>
          <w:sz w:val="24"/>
          <w:szCs w:val="24"/>
          <w:highlight w:val="none"/>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1、需配备不少于3名的FD20设备专业设备服务工程师。</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2、提供24小时800或400免费维修服务热线，免费提供远程诊断功能，能实现远程可视化中央控制、实施管理，对故障有预判性，可远程处理简单故障。</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3、用户报修电话响应时间：1小时内，现场维修响应时间：24个小时内。</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4、提供每年≥2次的详细设备预防性维护保养计划，根据计划在保修服务期内定期做预防性维护保养，确保设备能按照制造商的技术标准稳定运行。服务完成后提供相应的维护保养服务报告，并对设备的数据进行备份存储。</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★5、投标人所提供的备件必须是原厂的全新零备件，以满足设备运行要求，不会给设备带来安全隐患。（提供承诺函加盖公章）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★6、免费提供设备的系统软件及硬件的安全性改版升级和技术支持；并保证所有系统软件（非新增加功能软件）为最新版本。（提供承诺函加盖公章）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★7、本项目涉及更换高压、球管、平板探测器等重要零配件时，中标方需提供零配件的报关单备查。（提供承诺函加盖公章）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8、投标人在服务期间保证保修设备开机率达到95%以上；如设备故障停机率超过5%（一年按365天计算，每年18天，另行约定除外），停机每多超出1日，顺延维保2天。</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9、其他要求</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1）对保修设备及相关配套设备作出日常保养计划，定期进行保养、维护，并做好记录。</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2）可对我院工程技术人员进行培训，以便及时处理简单故障保证设备正常使用。</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3）年检时，中标单位负责机器调试到最佳状态，保证全部检测指标达国家标准，保证该设备能通过相关专业检测，并提供当年的系统状态报告。</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4）保修期内提供不限次数现场维修，免费更换所含备件。</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5）所保设备提供系统及配套设备的相关软件、数字备份，并建立档案。</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★6）合同期内为用户提供一次飞利浦C50设备移机服务。（提供承诺函加盖公章）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★7）提供DSA专用高压注射器一台。（提供承诺函加盖公章）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★8）提供DSA设备专用数据存储工作站（36T）。（提供承诺函加盖公章）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★9）中标方需承担飞利浦C50设备两次维修费用、飞利浦磁共振一次维修费用。（提供承诺函加盖公章）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★10提供飞利浦Allura Xper FD20（EQ:52037131）原厂保养服务一次。（提供承诺函加盖公章）</w:t>
      </w:r>
      <w:r>
        <w:rPr>
          <w:rFonts w:hint="eastAsia" w:ascii="宋体" w:hAnsi="宋体" w:eastAsia="宋体" w:cs="Times New Roman"/>
          <w:b/>
          <w:bCs w:val="0"/>
          <w:i/>
          <w:iCs/>
          <w:color w:val="000000"/>
          <w:sz w:val="24"/>
          <w:szCs w:val="24"/>
          <w:highlight w:val="none"/>
          <w:lang w:val="en-US" w:eastAsia="zh-CN" w:bidi="ar-SA"/>
        </w:rPr>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2"/>
        <w:spacing w:line="440" w:lineRule="exact"/>
        <w:rPr>
          <w:rFonts w:ascii="宋体" w:hAnsi="宋体"/>
          <w:b/>
        </w:rPr>
      </w:pPr>
      <w:r>
        <w:rPr>
          <w:rFonts w:ascii="宋体" w:hAnsi="宋体"/>
          <w:b/>
        </w:rPr>
      </w:r>
      <w:r/>
    </w:p>
    <w:p>
      <w:pPr>
        <w:pStyle w:val="1072"/>
        <w:rPr>
          <w:rFonts w:ascii="宋体" w:hAnsi="宋体"/>
          <w:bCs/>
        </w:rPr>
      </w:pPr>
      <w:r>
        <w:rPr>
          <w:rFonts w:ascii="宋体" w:hAnsi="宋体"/>
          <w:bCs/>
        </w:rPr>
      </w:r>
      <w:r/>
    </w:p>
    <w:p>
      <w:pPr>
        <w:pStyle w:val="1072"/>
        <w:rPr>
          <w:rFonts w:ascii="宋体" w:hAnsi="宋体"/>
        </w:rPr>
      </w:pPr>
      <w:r>
        <w:rPr>
          <w:rFonts w:ascii="宋体" w:hAnsi="宋体"/>
        </w:rPr>
      </w:r>
      <w:r/>
    </w:p>
    <w:p>
      <w:pPr>
        <w:pStyle w:val="1072"/>
        <w:jc w:val="left"/>
        <w:widowControl/>
        <w:rPr>
          <w:rFonts w:ascii="宋体" w:hAnsi="宋体"/>
          <w:b/>
          <w:sz w:val="36"/>
          <w:szCs w:val="36"/>
        </w:rPr>
      </w:pPr>
      <w:r>
        <w:rPr>
          <w:rFonts w:ascii="宋体" w:hAnsi="宋体"/>
          <w:b/>
          <w:sz w:val="36"/>
          <w:szCs w:val="36"/>
        </w:rPr>
        <w:br w:type="page" w:clear="all"/>
      </w:r>
      <w:r>
        <w:rPr>
          <w:rFonts w:ascii="宋体" w:hAnsi="宋体"/>
          <w:b/>
          <w:sz w:val="36"/>
          <w:szCs w:val="36"/>
        </w:rPr>
        <w:t xml:space="preserve"> </w:t>
      </w:r>
      <w:r>
        <w:rPr>
          <w:rFonts w:ascii="宋体" w:hAnsi="宋体"/>
          <w:b/>
          <w:sz w:val="36"/>
          <w:szCs w:val="36"/>
        </w:rPr>
      </w:r>
      <w:r/>
    </w:p>
    <w:p>
      <w:pPr>
        <w:pStyle w:val="1072"/>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72"/>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w:t>
      </w:r>
      <w:r>
        <w:rPr>
          <w:rFonts w:hint="eastAsia" w:ascii="宋体" w:hAnsi="宋体" w:eastAsia="宋体" w:cs="Times New Roman"/>
          <w:b w:val="0"/>
          <w:bCs/>
          <w:color w:val="000000"/>
          <w:sz w:val="24"/>
          <w:szCs w:val="24"/>
          <w:highlight w:val="none"/>
          <w:lang w:val="en-US" w:eastAsia="zh-CN" w:bidi="ar-SA"/>
        </w:rPr>
        <w:t xml:space="preserve">飞利浦DSA维保服务</w:t>
      </w:r>
      <w:r>
        <w:rPr>
          <w:rFonts w:hint="eastAsia" w:ascii="宋体" w:hAnsi="宋体" w:cs="宋体"/>
          <w:color w:val="000000"/>
          <w:sz w:val="24"/>
          <w:highlight w:val="none"/>
          <w:lang w:val="zh-CN"/>
        </w:rPr>
        <w:t xml:space="preserve">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166"/>
        <w:numPr>
          <w:ilvl w:val="0"/>
          <w:numId w:val="0"/>
        </w:numPr>
        <w:contextualSpacing/>
        <w:ind w:left="-2" w:firstLine="480"/>
        <w:spacing w:line="360" w:lineRule="auto"/>
        <w:tabs>
          <w:tab w:val="left" w:pos="567" w:leader="none"/>
        </w:tabs>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（一）维保设备：</w:t>
      </w:r>
      <w:r>
        <w:rPr>
          <w:rFonts w:hint="eastAsia" w:ascii="宋体" w:hAnsi="宋体" w:eastAsia="宋体" w:cs="Times New Roman"/>
          <w:b w:val="0"/>
          <w:bCs/>
          <w:color w:val="000000"/>
          <w:sz w:val="24"/>
          <w:szCs w:val="24"/>
          <w:highlight w:val="none"/>
          <w:lang w:val="en-US" w:eastAsia="zh-CN"/>
        </w:rPr>
        <w:t xml:space="preserve">2台</w:t>
      </w:r>
      <w:r>
        <w:rPr>
          <w:rFonts w:hint="eastAsia" w:ascii="宋体" w:hAnsi="宋体" w:eastAsia="宋体" w:cs="Times New Roman"/>
          <w:b w:val="0"/>
          <w:bCs/>
          <w:color w:val="000000"/>
          <w:sz w:val="24"/>
          <w:szCs w:val="24"/>
          <w:highlight w:val="none"/>
          <w:lang w:val="en-US" w:eastAsia="zh-CN" w:bidi="ar-SA"/>
        </w:rPr>
        <w:t xml:space="preserve">飞利浦DSA</w:t>
      </w:r>
      <w:r>
        <w:rPr>
          <w:rFonts w:hint="eastAsia" w:ascii="宋体" w:hAnsi="宋体" w:eastAsia="宋体" w:cs="Times New Roman"/>
          <w:b w:val="0"/>
          <w:bCs/>
          <w:color w:val="000000"/>
          <w:sz w:val="24"/>
          <w:szCs w:val="24"/>
          <w:highlight w:val="none"/>
          <w:lang w:val="en-US" w:eastAsia="zh-CN"/>
        </w:rPr>
        <w:t xml:space="preserve">（设备型号：</w:t>
      </w:r>
      <w:r>
        <w:rPr>
          <w:rFonts w:hint="eastAsia" w:ascii="Times New Roman" w:hAnsi="Times New Roman" w:eastAsia="宋体" w:cs="Times New Roman"/>
          <w:color w:val="000000"/>
          <w:szCs w:val="21"/>
          <w:highlight w:val="none"/>
          <w:lang w:val="zh-CN"/>
        </w:rPr>
        <w:t xml:space="preserve">FD20</w:t>
      </w:r>
      <w:r>
        <w:rPr>
          <w:rFonts w:hint="eastAsia" w:ascii="宋体" w:hAnsi="宋体" w:eastAsia="宋体" w:cs="Times New Roman"/>
          <w:b w:val="0"/>
          <w:bCs/>
          <w:color w:val="000000"/>
          <w:sz w:val="24"/>
          <w:szCs w:val="24"/>
          <w:highlight w:val="none"/>
          <w:lang w:val="en-US" w:eastAsia="zh-CN"/>
        </w:rPr>
        <w:t xml:space="preserve">）</w:t>
      </w:r>
      <w:r>
        <w:rPr>
          <w:rFonts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（二）维保类型：全保服务。</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（三）</w:t>
      </w:r>
      <w:r>
        <w:rPr>
          <w:rFonts w:ascii="宋体" w:hAnsi="宋体" w:eastAsia="宋体" w:cs="Times New Roman"/>
          <w:b w:val="0"/>
          <w:bCs/>
          <w:color w:val="000000"/>
          <w:sz w:val="24"/>
          <w:szCs w:val="24"/>
          <w:highlight w:val="none"/>
          <w:lang w:val="en-US" w:eastAsia="zh-CN" w:bidi="ar-SA"/>
        </w:rPr>
        <w:t xml:space="preserve">维修要求</w:t>
      </w:r>
      <w:r>
        <w:rPr>
          <w:rFonts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1、需配备不少于3名的FD20设备专业设备服务工程师。</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2、提供24小时800或400免费维修服务热线，免费提供远程诊断功能，能实现远程可视化中央控制、实施管理，对故障有预判性，可远程处理简单故障。</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3、用户报修电话响应时间：1小时内，现场维修响应时间：24个小时内。</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4、提供每年≥2次的详细设备预防性维护保养计划，根据计划在保修服务期内定期做预防性维护保养，确保设备能按照制造商的技术标准稳定运行。服务完成后提供相应的维护保养服务报告，并对设备的数据进行备份存储。</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5、投标人所提供的备件必须是原厂的全新零备件，以满足设备运行要求，不会给设备带来安全隐患。</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6、免费提供设备的系统软件及硬件的安全性改版升级和技术支持；并保证所有系统软件（非新增加功能软件）为最新版本。</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7、本项目涉及更换高压、球管、平板探测器等重要零配件时，中标方需提供零配件的报关单备查。</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8、投标人在服务期间保证保修设备开机率达到95%以上；如设备故障停机率超过5%（一年按365天计算，每年18天，另行约定除外），停机每多超出1日，顺延维保2天。</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9、其他要求</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1）对保修设备及相关配套设备作出日常保养计划，定期进行保养、维护，并做好记录。</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2）可对我院工程技术人员进行培训，以便及时处理简单故障保证设备正常使用。</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3）年检时，中标单位负责机器调试到最佳状态，保证全部检测指标达国家标准，保证该设备能通过相关专业检测，并提供当年的系统状态报告。</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4）保修期内提供不限次数现场维修，免费更换所含备件。</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0"/>
        <w:spacing w:line="360" w:lineRule="auto"/>
        <w:tabs>
          <w:tab w:val="left" w:pos="567" w:leader="none"/>
        </w:tabs>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5）所保设备提供系统及配套设备的相关软件、数字备份，并建立档案。</w:t>
      </w:r>
      <w:r>
        <w:rPr>
          <w:rFonts w:hint="eastAsia" w:ascii="宋体" w:hAnsi="宋体" w:eastAsia="宋体" w:cs="Times New Roman"/>
          <w:b w:val="0"/>
          <w:b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6）合同期内为用户提供一次飞利浦C50设备移机服务。</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7）提供DSA专用高压注射器一台。</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8）提供DSA设备专用数据存储工作站（36T）。</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int="eastAsia" w:ascii="宋体" w:hAnsi="宋体" w:eastAsia="宋体" w:cs="Times New Roman"/>
          <w:b/>
          <w:bCs w:val="0"/>
          <w:i/>
          <w:iCs/>
          <w:color w:val="000000"/>
          <w:sz w:val="24"/>
          <w:szCs w:val="24"/>
          <w:highlight w:val="none"/>
          <w:lang w:val="en-US" w:eastAsia="zh-CN" w:bidi="ar-SA"/>
        </w:rPr>
      </w:pPr>
      <w:r>
        <w:rPr>
          <w:rFonts w:hint="eastAsia" w:ascii="宋体" w:hAnsi="宋体" w:eastAsia="宋体" w:cs="Times New Roman"/>
          <w:b/>
          <w:bCs w:val="0"/>
          <w:i/>
          <w:iCs/>
          <w:color w:val="000000"/>
          <w:sz w:val="24"/>
          <w:szCs w:val="24"/>
          <w:highlight w:val="none"/>
          <w:lang w:val="en-US" w:eastAsia="zh-CN" w:bidi="ar-SA"/>
        </w:rPr>
        <w:t xml:space="preserve">9）中标方需承担飞利浦C50设备两次维修费用、飞利浦磁共振一次维修费用。</w:t>
      </w:r>
      <w:r>
        <w:rPr>
          <w:rFonts w:hint="eastAsia" w:ascii="宋体" w:hAnsi="宋体" w:eastAsia="宋体" w:cs="Times New Roman"/>
          <w:b/>
          <w:bCs w:val="0"/>
          <w:i/>
          <w:iCs/>
          <w:color w:val="000000"/>
          <w:sz w:val="24"/>
          <w:szCs w:val="24"/>
          <w:highlight w:val="none"/>
          <w:lang w:val="en-US" w:eastAsia="zh-CN" w:bidi="ar-SA"/>
        </w:rPr>
      </w:r>
      <w:r/>
    </w:p>
    <w:p>
      <w:pPr>
        <w:pStyle w:val="1166"/>
        <w:numPr>
          <w:ilvl w:val="0"/>
          <w:numId w:val="0"/>
        </w:numPr>
        <w:contextualSpacing/>
        <w:ind w:left="-2" w:firstLine="482"/>
        <w:spacing w:line="360" w:lineRule="auto"/>
        <w:tabs>
          <w:tab w:val="left" w:pos="567" w:leader="none"/>
        </w:tabs>
        <w:rPr>
          <w:rFonts w:hAnsi="宋体" w:cs="宋体"/>
          <w:b/>
          <w:color w:val="000000"/>
          <w:sz w:val="24"/>
          <w:szCs w:val="24"/>
          <w:highlight w:val="none"/>
        </w:rPr>
      </w:pPr>
      <w:r>
        <w:rPr>
          <w:rFonts w:hint="eastAsia" w:ascii="宋体" w:hAnsi="宋体" w:eastAsia="宋体" w:cs="Times New Roman"/>
          <w:b/>
          <w:bCs w:val="0"/>
          <w:i/>
          <w:iCs/>
          <w:color w:val="000000"/>
          <w:sz w:val="24"/>
          <w:szCs w:val="24"/>
          <w:highlight w:val="none"/>
          <w:lang w:val="en-US" w:eastAsia="zh-CN" w:bidi="ar-SA"/>
        </w:rPr>
        <w:t xml:space="preserve">10提供飞利浦Allura Xper FD20（EQ:52037131）原厂保养服务一次。</w:t>
      </w:r>
      <w:r>
        <w:rPr>
          <w:rFonts w:hAnsi="宋体" w:cs="宋体"/>
          <w:b/>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w:t>
      </w:r>
      <w:r>
        <w:rPr>
          <w:rFonts w:hAnsi="宋体" w:cs="宋体"/>
          <w:b/>
          <w:color w:val="000000"/>
          <w:sz w:val="24"/>
          <w:szCs w:val="24"/>
          <w:highlight w:val="none"/>
        </w:rPr>
        <w:t xml:space="preserve">（小写       ）。 </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07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本项目服务期限为</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合同一年一签。本期合同为第一期，自2026</w:t>
      </w:r>
      <w:r>
        <w:rPr>
          <w:rFonts w:hint="eastAsia" w:ascii="宋体" w:hAnsi="宋体" w:cs="宋体"/>
          <w:color w:val="000000"/>
          <w:sz w:val="24"/>
          <w:highlight w:val="none"/>
        </w:rPr>
        <w:t xml:space="preserve">年  月   日</w:t>
      </w:r>
      <w:r>
        <w:rPr>
          <w:rFonts w:hint="eastAsia" w:ascii="宋体" w:hAnsi="宋体" w:cs="宋体"/>
          <w:color w:val="000000"/>
          <w:sz w:val="24"/>
          <w:highlight w:val="none"/>
          <w:lang w:val="en-US" w:eastAsia="zh-CN"/>
        </w:rPr>
        <w:t xml:space="preserve">至2027</w:t>
      </w:r>
      <w:r>
        <w:rPr>
          <w:rFonts w:hint="eastAsia" w:ascii="宋体" w:hAnsi="宋体" w:cs="宋体"/>
          <w:color w:val="000000"/>
          <w:sz w:val="24"/>
          <w:highlight w:val="none"/>
        </w:rPr>
        <w:t xml:space="preserve">年  月  日</w:t>
      </w:r>
      <w:r>
        <w:rPr>
          <w:rFonts w:hint="eastAsia" w:ascii="宋体" w:hAnsi="宋体" w:cs="宋体"/>
          <w:color w:val="000000"/>
          <w:sz w:val="24"/>
          <w:highlight w:val="none"/>
          <w:lang w:val="en-US" w:eastAsia="zh-CN"/>
        </w:rPr>
        <w:t xml:space="preserve">止。</w:t>
      </w:r>
      <w:r>
        <w:rPr>
          <w:rFonts w:hint="eastAsia" w:ascii="宋体" w:hAnsi="宋体" w:eastAsia="宋体" w:cs="宋体"/>
          <w:color w:val="000000"/>
          <w:sz w:val="24"/>
          <w:highlight w:val="none"/>
          <w:lang w:eastAsia="zh-CN"/>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6"/>
        <w:numPr>
          <w:ilvl w:val="0"/>
          <w:numId w:val="0"/>
        </w:numPr>
        <w:contextualSpacing/>
        <w:ind w:left="-2" w:firstLine="480"/>
        <w:spacing w:line="360" w:lineRule="auto"/>
        <w:tabs>
          <w:tab w:val="left" w:pos="567" w:leader="none"/>
        </w:tabs>
        <w:rPr>
          <w:rFonts w:ascii="宋体" w:hAnsi="宋体"/>
          <w:b w:val="0"/>
          <w:bCs/>
          <w:color w:val="000000"/>
          <w:sz w:val="24"/>
          <w:szCs w:val="24"/>
          <w:highlight w:val="none"/>
          <w:lang w:val="en-US" w:eastAsia="zh-CN" w:bidi="ar-SA"/>
        </w:rPr>
      </w:pPr>
      <w:r>
        <w:rPr>
          <w:rFonts w:hint="eastAsia" w:ascii="宋体" w:hAnsi="宋体" w:cs="宋体"/>
          <w:color w:val="000000"/>
          <w:sz w:val="24"/>
          <w:highlight w:val="none"/>
        </w:rPr>
        <w:t xml:space="preserve">4.付款方式：维保费用按年度结算。</w:t>
      </w:r>
      <w:r>
        <w:rPr>
          <w:rFonts w:ascii="宋体" w:hAnsi="宋体"/>
          <w:b w:val="0"/>
          <w:bCs/>
          <w:color w:val="000000"/>
          <w:sz w:val="24"/>
          <w:szCs w:val="24"/>
          <w:highlight w:val="none"/>
          <w:lang w:val="en-US" w:eastAsia="zh-CN" w:bidi="ar-SA"/>
        </w:rPr>
        <w:t xml:space="preserve">维保费用按年度结算。维保费用在该年度服务开始后一个月内支付。</w:t>
      </w:r>
      <w:r>
        <w:rPr>
          <w:rFonts w:ascii="宋体" w:hAnsi="宋体"/>
          <w:b w:val="0"/>
          <w:bCs/>
          <w:color w:val="000000"/>
          <w:sz w:val="24"/>
          <w:szCs w:val="24"/>
          <w:highlight w:val="none"/>
          <w:lang w:val="en-US" w:eastAsia="zh-CN" w:bidi="ar-SA"/>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付款前</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应开具正式增值税发票。因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原因未及时提供发票导致不能支付的，相应责任由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负责。</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2.乙方未按本合同的规定和“服务承诺”提供伴随服务的，甲方有权提前解除本合同，同时乙方应按合同总价款的5 %向甲方承担违约责任。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.乙方投标属虚假承诺，或是由于乙方的过错造成合同无法继续履行的，乙方应向甲方支付不少于合同总价30%违约金，若该违约金不足以弥补甲方损失，则应当赔偿甲方所有损失。</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spacing w:line="360" w:lineRule="auto"/>
        <w:rPr>
          <w:rFonts w:ascii="宋体" w:hAnsi="宋体" w:cs="宋体"/>
          <w:color w:val="000000"/>
          <w:sz w:val="24"/>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rPr>
      </w:r>
      <w:r/>
    </w:p>
    <w:p>
      <w:pPr>
        <w:pStyle w:val="1075"/>
        <w:numPr>
          <w:ilvl w:val="2"/>
          <w:numId w:val="14"/>
        </w:numPr>
        <w:contextualSpacing/>
        <w:ind w:firstLine="643"/>
        <w:jc w:val="center"/>
        <w:spacing w:before="120" w:after="0" w:line="360" w:lineRule="auto"/>
        <w:tabs>
          <w:tab w:val="center" w:pos="4677" w:leader="none"/>
          <w:tab w:val="left" w:pos="7652" w:leader="none"/>
        </w:tabs>
        <w:rPr>
          <w:rFonts w:hint="eastAsia" w:hAnsi="宋体"/>
          <w:b w:val="0"/>
          <w:color w:val="000000"/>
          <w:sz w:val="32"/>
          <w:szCs w:val="32"/>
          <w:highlight w:val="none"/>
        </w:rPr>
      </w:pPr>
      <w:r>
        <w:rPr>
          <w:rFonts w:hint="eastAsia" w:hAnsi="宋体"/>
          <w:color w:val="000000"/>
          <w:sz w:val="32"/>
          <w:szCs w:val="32"/>
          <w:highlight w:val="none"/>
          <w:u w:val="none"/>
        </w:rPr>
        <w:t xml:space="preserve">廉 政 责 任 书</w:t>
      </w:r>
      <w:r>
        <w:rPr>
          <w:rFonts w:hint="eastAsia" w:hAnsi="宋体"/>
          <w:b w:val="0"/>
          <w:color w:val="000000"/>
          <w:sz w:val="32"/>
          <w:szCs w:val="32"/>
          <w:highlight w:val="none"/>
        </w:rPr>
      </w:r>
      <w:r/>
    </w:p>
    <w:p>
      <w:pPr>
        <w:pStyle w:val="1072"/>
        <w:ind w:firstLine="560"/>
        <w:spacing w:line="40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为进一步加强廉政建设，特订立如下责任书：</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一、甲、乙双方的权利和义务</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 甲乙双方应严格遵守党的政策规定和国家有关法律法规。</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 甲乙双方应严格执行项目的合同文件，自觉按合同办事。</w:t>
      </w:r>
      <w:r>
        <w:rPr>
          <w:rFonts w:hint="eastAsia" w:ascii="宋体" w:hAnsi="宋体"/>
          <w:color w:val="000000"/>
          <w:sz w:val="24"/>
          <w:highlight w:val="none"/>
        </w:rPr>
      </w:r>
      <w:r/>
    </w:p>
    <w:p>
      <w:pPr>
        <w:pStyle w:val="1072"/>
        <w:ind w:firstLine="464"/>
        <w:spacing w:line="540" w:lineRule="exact"/>
        <w:widowControl/>
        <w:rPr>
          <w:rFonts w:hint="eastAsia" w:ascii="宋体" w:hAnsi="宋体"/>
          <w:color w:val="000000"/>
          <w:sz w:val="24"/>
          <w:highlight w:val="none"/>
        </w:rPr>
      </w:pPr>
      <w:r>
        <w:rPr>
          <w:rFonts w:hint="eastAsia" w:ascii="宋体" w:hAnsi="宋体"/>
          <w:color w:val="000000"/>
          <w:spacing w:val="-4"/>
          <w:sz w:val="24"/>
          <w:highlight w:val="none"/>
        </w:rPr>
        <w:t xml:space="preserve">3．甲乙双方的业务活动应坚持公开、公平、公正、诚信、透明的原则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4．甲乙双方不得以任何理由向对方工作人员行贿或馈赠礼金、有价证券、贵重礼品。不得在对方报销任何应由个人支付的费用。</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5．甲乙双方不得以任何理由违反廉洁自律的有关规定。</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二、违约责任</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2．本协议一式三份，由甲、乙双方各执一份，送交甲方的监督单位一份。</w:t>
      </w:r>
      <w:r>
        <w:rPr>
          <w:rFonts w:hint="eastAsia" w:ascii="宋体" w:hAnsi="宋体"/>
          <w:color w:val="000000"/>
          <w:sz w:val="24"/>
          <w:highlight w:val="none"/>
        </w:rPr>
      </w:r>
      <w:r/>
    </w:p>
    <w:p>
      <w:pPr>
        <w:pStyle w:val="1072"/>
        <w:ind w:firstLine="480"/>
        <w:spacing w:line="540" w:lineRule="exact"/>
        <w:widowControl/>
        <w:rPr>
          <w:rFonts w:ascii="宋体" w:hAnsi="宋体"/>
          <w:color w:val="000000"/>
          <w:sz w:val="24"/>
          <w:highlight w:val="none"/>
        </w:rPr>
      </w:pPr>
      <w:r>
        <w:rPr>
          <w:rFonts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甲方（盖章）：            </w:t>
      </w:r>
      <w:r>
        <w:rPr>
          <w:rFonts w:ascii="宋体" w:hAnsi="宋体"/>
          <w:color w:val="000000"/>
          <w:sz w:val="24"/>
          <w:highlight w:val="non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日期：    年   月   日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rPr>
          <w:rFonts w:ascii="宋体" w:hAnsi="宋体"/>
          <w:sz w:val="24"/>
        </w:rPr>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致：常州市城投建设工程招标有限公司</w:t>
      </w:r>
      <w:r>
        <w:rPr>
          <w:rFonts w:hAnsi="宋体"/>
        </w:rPr>
      </w:r>
      <w:r/>
    </w:p>
    <w:p>
      <w:pPr>
        <w:pStyle w:val="1086"/>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6"/>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Ansi="宋体"/>
        </w:rPr>
      </w:r>
      <w:r/>
    </w:p>
    <w:p>
      <w:pPr>
        <w:pStyle w:val="1086"/>
        <w:ind w:firstLine="840"/>
        <w:spacing w:line="460" w:lineRule="exact"/>
        <w:rPr>
          <w:rFonts w:hAnsi="宋体"/>
        </w:rPr>
      </w:pPr>
      <w:r>
        <w:rPr>
          <w:rFonts w:hint="eastAsia" w:hAnsi="宋体"/>
        </w:rPr>
        <w:t xml:space="preserve">投标人：（加盖公章）</w:t>
      </w:r>
      <w:r>
        <w:rPr>
          <w:rFonts w:hAnsi="宋体"/>
        </w:rPr>
      </w:r>
      <w:r/>
    </w:p>
    <w:p>
      <w:pPr>
        <w:pStyle w:val="1086"/>
        <w:ind w:firstLine="840"/>
        <w:spacing w:line="460" w:lineRule="exact"/>
        <w:rPr>
          <w:rFonts w:hAnsi="宋体"/>
        </w:rPr>
      </w:pPr>
      <w:r>
        <w:rPr>
          <w:rFonts w:hint="eastAsia" w:hAnsi="宋体"/>
        </w:rPr>
        <w:t xml:space="preserve">法定代表人（或单位负责人）签字或盖章：</w:t>
      </w:r>
      <w:r>
        <w:rPr>
          <w:rFonts w:hAnsi="宋体"/>
        </w:rPr>
      </w:r>
      <w:r/>
    </w:p>
    <w:p>
      <w:pPr>
        <w:pStyle w:val="1086"/>
        <w:ind w:firstLine="840"/>
        <w:spacing w:line="460" w:lineRule="exact"/>
        <w:rPr>
          <w:rFonts w:hint="eastAsia" w:hAnsi="宋体"/>
        </w:rPr>
      </w:pPr>
      <w:r>
        <w:rPr>
          <w:rFonts w:hint="eastAsia" w:hAnsi="宋体"/>
        </w:rPr>
        <w:t xml:space="preserve">日期：    年    月    日</w:t>
      </w:r>
      <w:r>
        <w:rPr>
          <w:rFonts w:hint="eastAsia" w:hAnsi="宋体"/>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2-3 </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b/>
          <w:sz w:val="24"/>
        </w:rPr>
        <w:outlineLvl w:val="2"/>
      </w:pPr>
      <w:r>
        <w:rPr>
          <w:rFonts w:ascii="宋体" w:hAnsi="宋体"/>
          <w:sz w:val="24"/>
        </w:rPr>
        <w:br w:type="page" w:clear="all"/>
      </w:r>
      <w:r>
        <w:rPr>
          <w:rFonts w:ascii="宋体" w:hAnsi="宋体"/>
          <w:b/>
          <w:color w:val="000000"/>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color w:val="000000"/>
          <w:sz w:val="24"/>
          <w:szCs w:val="20"/>
        </w:rPr>
        <w:t xml:space="preserve">3-2其他特定资格要求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150774761"/>
      <w:r/>
      <w:bookmarkStart w:id="818" w:name="_Toc195842921"/>
      <w:r/>
      <w:bookmarkStart w:id="819" w:name="_Ref467988698"/>
      <w:r/>
      <w:bookmarkStart w:id="820" w:name="_Toc226309800"/>
      <w:r/>
      <w:bookmarkStart w:id="821" w:name="_Toc520356217"/>
      <w:r/>
      <w:bookmarkStart w:id="822" w:name="_Toc226337252"/>
      <w:r/>
      <w:bookmarkStart w:id="823" w:name="_Toc226965746"/>
      <w:r/>
      <w:bookmarkStart w:id="824" w:name="_Toc480942349"/>
      <w:r/>
      <w:bookmarkStart w:id="825" w:name="_Toc142311058"/>
      <w:r/>
      <w:bookmarkStart w:id="826" w:name="_Toc150480794"/>
      <w:r/>
      <w:bookmarkStart w:id="827" w:name="_Toc127151556"/>
      <w:r/>
      <w:bookmarkStart w:id="828" w:name="_Toc226965829"/>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ascii="宋体" w:hAnsi="宋体"/>
          <w:color w:val="000000"/>
          <w:sz w:val="24"/>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2"/>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2"/>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2"/>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2"/>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2"/>
        <w:jc w:val="left"/>
        <w:widowControl/>
        <w:rPr>
          <w:rFonts w:hint="eastAsia" w:ascii="宋体" w:hAnsi="宋体"/>
          <w:b/>
          <w:color w:val="000000"/>
          <w:sz w:val="24"/>
        </w:rPr>
      </w:pPr>
      <w:r/>
      <w:bookmarkStart w:id="829" w:name="_Hlt520356243"/>
      <w:r/>
      <w:bookmarkEnd w:id="829"/>
      <w:r/>
      <w:bookmarkStart w:id="830" w:name="_Hlt520355938"/>
      <w:r/>
      <w:bookmarkEnd w:id="830"/>
      <w:r>
        <w:rPr>
          <w:rFonts w:ascii="宋体" w:hAnsi="宋体"/>
          <w:color w:val="000000"/>
          <w:sz w:val="24"/>
        </w:rPr>
        <w:br w:type="page" w:clear="all"/>
      </w:r>
      <w:r>
        <w:rPr>
          <w:rFonts w:hint="eastAsia" w:ascii="宋体" w:hAnsi="宋体"/>
          <w:b/>
          <w:color w:val="000000"/>
          <w:sz w:val="24"/>
        </w:rPr>
      </w:r>
      <w:r/>
    </w:p>
    <w:p>
      <w:pPr>
        <w:pStyle w:val="1072"/>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2"/>
        <w:jc w:val="center"/>
        <w:rPr>
          <w:rFonts w:hint="eastAsia" w:ascii="宋体" w:hAnsi="宋体"/>
          <w:b/>
          <w:color w:val="000000"/>
          <w:sz w:val="32"/>
          <w:szCs w:val="32"/>
        </w:rPr>
      </w:pPr>
      <w:r>
        <w:rPr>
          <w:rFonts w:hint="eastAsia" w:ascii="宋体" w:hAnsi="宋体"/>
          <w:b/>
          <w:color w:val="000000"/>
          <w:sz w:val="32"/>
          <w:szCs w:val="32"/>
        </w:rPr>
      </w:r>
      <w:r/>
    </w:p>
    <w:p>
      <w:pPr>
        <w:pStyle w:val="1324"/>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2"/>
        <w:ind w:firstLine="516"/>
        <w:spacing w:line="360" w:lineRule="auto"/>
        <w:rPr>
          <w:rFonts w:ascii="宋体" w:hAnsi="宋体" w:cs="宋体"/>
          <w:sz w:val="24"/>
        </w:rPr>
      </w:pPr>
      <w:r>
        <w:rPr>
          <w:rFonts w:hint="eastAsia" w:ascii="宋体" w:hAnsi="宋体" w:cs="宋体"/>
          <w:color w:val="000000"/>
          <w:sz w:val="24"/>
        </w:rPr>
        <w:t xml:space="preserve">本授权委托书声明：我 ___________(姓名)（身份证号码：________________）系_________________（投标</w:t>
      </w:r>
      <w:r>
        <w:rPr>
          <w:rFonts w:hint="eastAsia" w:ascii="宋体" w:hAnsi="宋体" w:cs="宋体"/>
          <w:sz w:val="24"/>
        </w:rPr>
        <w:t xml:space="preserve">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3"/>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3"/>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31" w:name="_Hlt520271212"/>
      <w:r/>
      <w:bookmarkEnd w:id="831"/>
      <w:r/>
      <w:bookmarkStart w:id="832" w:name="_Hlt520273711"/>
      <w:r/>
      <w:bookmarkEnd w:id="832"/>
      <w:r/>
      <w:bookmarkStart w:id="833" w:name="_Hlt520343000"/>
      <w:r/>
      <w:bookmarkEnd w:id="833"/>
      <w:r/>
      <w:bookmarkStart w:id="834" w:name="_Hlt520355504"/>
      <w:r/>
      <w:bookmarkEnd w:id="834"/>
      <w:r/>
      <w:bookmarkStart w:id="835" w:name="_Hlt520343392"/>
      <w:r/>
      <w:bookmarkEnd w:id="835"/>
      <w:r/>
      <w:bookmarkStart w:id="836" w:name="_Hlt520350918"/>
      <w:r/>
      <w:bookmarkEnd w:id="836"/>
      <w:r/>
      <w:bookmarkStart w:id="837" w:name="_Hlt520274121"/>
      <w:r/>
      <w:bookmarkEnd w:id="837"/>
      <w:r/>
      <w:bookmarkStart w:id="838" w:name="_Hlt520274065"/>
      <w:r/>
      <w:bookmarkEnd w:id="838"/>
      <w:r/>
      <w:bookmarkStart w:id="839" w:name="_Hlt520274407"/>
      <w:r/>
      <w:bookmarkEnd w:id="839"/>
      <w:r/>
      <w:bookmarkStart w:id="840" w:name="_Hlt520274393"/>
      <w:r/>
      <w:bookmarkEnd w:id="840"/>
      <w:r/>
      <w:bookmarkStart w:id="841" w:name="_Ref467988705"/>
      <w:r/>
      <w:bookmarkStart w:id="842" w:name="_Toc142311059"/>
      <w:r/>
      <w:bookmarkStart w:id="843" w:name="_Toc305158899"/>
      <w:r/>
      <w:bookmarkStart w:id="844" w:name="_Toc226309801"/>
      <w:r/>
      <w:bookmarkStart w:id="845" w:name="_Toc226337253"/>
      <w:r/>
      <w:bookmarkStart w:id="846" w:name="_Toc226965747"/>
      <w:r/>
      <w:bookmarkStart w:id="847" w:name="_Toc127151557"/>
      <w:r/>
      <w:bookmarkStart w:id="848" w:name="_Toc195842922"/>
      <w:r/>
      <w:bookmarkStart w:id="849" w:name="_Toc150774762"/>
      <w:r/>
      <w:bookmarkStart w:id="850" w:name="_Toc226965830"/>
      <w:r/>
      <w:bookmarkStart w:id="851" w:name="_Toc150480795"/>
      <w:r/>
      <w:bookmarkStart w:id="852" w:name="_Toc520356218"/>
      <w:r/>
      <w:bookmarkStart w:id="853" w:name="_Toc264969247"/>
      <w:r/>
      <w:bookmarkStart w:id="854" w:name="_Toc265228395"/>
      <w:r/>
      <w:bookmarkStart w:id="855" w:name="_Toc305158825"/>
      <w:r/>
      <w:bookmarkStart w:id="856" w:name="_Toc480942350"/>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b/>
          <w:color w:val="000000"/>
          <w:sz w:val="36"/>
          <w:szCs w:val="36"/>
        </w:rPr>
      </w:pPr>
      <w:r/>
      <w:bookmarkStart w:id="857" w:name="_Toc305158900"/>
      <w:r/>
      <w:bookmarkStart w:id="858" w:name="_Toc265228396"/>
      <w:r/>
      <w:bookmarkStart w:id="859" w:name="_Toc164608827"/>
      <w:r/>
      <w:bookmarkStart w:id="860" w:name="_Toc226965748"/>
      <w:r/>
      <w:bookmarkStart w:id="861" w:name="_Toc195842923"/>
      <w:r/>
      <w:bookmarkStart w:id="862" w:name="_Toc226337254"/>
      <w:r/>
      <w:bookmarkStart w:id="863" w:name="_Toc305158826"/>
      <w:r/>
      <w:bookmarkStart w:id="864" w:name="_Toc164608672"/>
      <w:r/>
      <w:bookmarkStart w:id="865" w:name="_Toc264969248"/>
      <w:r/>
      <w:bookmarkStart w:id="866" w:name="_Toc226965831"/>
      <w:r/>
      <w:bookmarkStart w:id="867" w:name="_Toc226309802"/>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2"/>
        <w:ind w:firstLine="480"/>
        <w:jc w:val="left"/>
        <w:rPr>
          <w:rFonts w:ascii="宋体" w:hAnsi="宋体" w:eastAsia="宋体" w:cs="Times New Roman"/>
          <w:color w:val="000000"/>
          <w:sz w:val="24"/>
          <w:szCs w:val="20"/>
        </w:rPr>
      </w:pPr>
      <w:r>
        <w:rPr>
          <w:rFonts w:ascii="宋体" w:hAnsi="宋体" w:eastAsia="宋体" w:cs="Times New Roman"/>
          <w:color w:val="000000"/>
          <w:sz w:val="24"/>
          <w:szCs w:val="20"/>
        </w:rPr>
        <w:t xml:space="preserve">2.本表必须按包分别填写。</w:t>
      </w:r>
      <w:r>
        <w:rPr>
          <w:rFonts w:ascii="宋体" w:hAnsi="宋体" w:eastAsia="宋体" w:cs="Times New Roman"/>
          <w:color w:val="000000"/>
          <w:sz w:val="24"/>
          <w:szCs w:val="20"/>
        </w:rPr>
      </w:r>
      <w:r/>
    </w:p>
    <w:p>
      <w:pPr>
        <w:pStyle w:val="1072"/>
        <w:ind w:firstLine="480"/>
        <w:jc w:val="left"/>
        <w:rPr>
          <w:rFonts w:ascii="宋体" w:hAnsi="宋体"/>
          <w:color w:val="000000"/>
          <w:sz w:val="24"/>
          <w:lang w:val="zh-CN"/>
        </w:rPr>
      </w:pPr>
      <w:r>
        <w:rPr>
          <w:rFonts w:hint="eastAsia" w:ascii="宋体" w:hAnsi="宋体" w:eastAsia="宋体" w:cs="Times New Roman"/>
          <w:color w:val="000000"/>
          <w:sz w:val="24"/>
          <w:szCs w:val="20"/>
          <w:lang w:val="en-US" w:eastAsia="zh-CN"/>
        </w:rPr>
        <w:t xml:space="preserve">3.投标报价为单年度报价。</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68" w:name="_Toc127151558"/>
      <w:r/>
      <w:bookmarkStart w:id="869" w:name="_Toc264969249"/>
      <w:r/>
      <w:bookmarkStart w:id="870" w:name="_Toc305158901"/>
      <w:r/>
      <w:bookmarkStart w:id="871" w:name="_Toc226309803"/>
      <w:r/>
      <w:bookmarkStart w:id="872" w:name="_Toc226965832"/>
      <w:r/>
      <w:bookmarkStart w:id="873" w:name="_Toc195842924"/>
      <w:r/>
      <w:bookmarkStart w:id="874" w:name="_Toc305158827"/>
      <w:r/>
      <w:bookmarkStart w:id="875" w:name="_Toc150480796"/>
      <w:r/>
      <w:bookmarkStart w:id="876" w:name="_Toc226337255"/>
      <w:r/>
      <w:bookmarkStart w:id="877" w:name="_Toc226965749"/>
      <w:r/>
      <w:bookmarkStart w:id="878" w:name="_Toc142311060"/>
      <w:r/>
      <w:bookmarkStart w:id="879" w:name="_Toc150774763"/>
      <w:r/>
      <w:bookmarkStart w:id="880" w:name="_Toc265228397"/>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color w:val="000000"/>
          <w:sz w:val="36"/>
          <w:szCs w:val="36"/>
        </w:rPr>
      </w:pPr>
      <w:r>
        <w:rPr>
          <w:rFonts w:ascii="宋体" w:hAnsi="宋体"/>
          <w:color w:val="000000"/>
          <w:sz w:val="36"/>
          <w:szCs w:val="36"/>
        </w:rPr>
      </w:r>
      <w:r/>
    </w:p>
    <w:p>
      <w:pPr>
        <w:pStyle w:val="1072"/>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2"/>
        <w:jc w:val="center"/>
        <w:spacing w:line="260" w:lineRule="exact"/>
        <w:rPr>
          <w:rFonts w:ascii="宋体" w:hAnsi="宋体"/>
          <w:color w:val="000000"/>
          <w:sz w:val="36"/>
          <w:szCs w:val="36"/>
        </w:rPr>
      </w:pPr>
      <w:r>
        <w:rPr>
          <w:rFonts w:ascii="宋体" w:hAnsi="宋体"/>
          <w:color w:val="000000"/>
          <w:sz w:val="36"/>
          <w:szCs w:val="36"/>
        </w:rPr>
      </w:r>
      <w:r/>
    </w:p>
    <w:p>
      <w:pPr>
        <w:pStyle w:val="1072"/>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8650" w:type="dxa"/>
            <w:vAlign w:val="top"/>
            <w:textDirection w:val="lrTb"/>
            <w:noWrap w:val="false"/>
          </w:tcPr>
          <w:p>
            <w:pPr>
              <w:pStyle w:val="1072"/>
              <w:jc w:val="both"/>
              <w:spacing w:line="360" w:lineRule="auto"/>
              <w:widowControl/>
              <w:rPr>
                <w:rFonts w:ascii="宋体" w:hAnsi="宋体" w:cs="Arial"/>
                <w:color w:val="000000"/>
                <w:sz w:val="24"/>
              </w:rPr>
            </w:pPr>
            <w:r/>
            <w:bookmarkStart w:id="881" w:name="_Toc226337258"/>
            <w:r/>
            <w:bookmarkStart w:id="882" w:name="_Toc226965752"/>
            <w:r/>
            <w:bookmarkStart w:id="883" w:name="_Toc226965835"/>
            <w:r/>
            <w:bookmarkStart w:id="884" w:name="_Toc265228400"/>
            <w:r/>
            <w:bookmarkStart w:id="885" w:name="_Toc226309806"/>
            <w:r/>
            <w:bookmarkStart w:id="886" w:name="_Toc150774765"/>
            <w:r/>
            <w:bookmarkStart w:id="887" w:name="_Toc305158830"/>
            <w:r/>
            <w:bookmarkStart w:id="888" w:name="_Toc127151562"/>
            <w:r/>
            <w:bookmarkStart w:id="889" w:name="_Toc150480798"/>
            <w:r/>
            <w:bookmarkStart w:id="890" w:name="_Toc305158904"/>
            <w:r/>
            <w:bookmarkStart w:id="891" w:name="_Toc142311062"/>
            <w:r/>
            <w:bookmarkStart w:id="892" w:name="_Toc195842927"/>
            <w:r/>
            <w:bookmarkStart w:id="893" w:name="_Toc264969252"/>
            <w:r/>
            <w:bookmarkStart w:id="894" w:name="_Toc305158829"/>
            <w:r/>
            <w:bookmarkStart w:id="895" w:name="_Toc226337257"/>
            <w:r/>
            <w:bookmarkStart w:id="896" w:name="_Toc264969251"/>
            <w:r/>
            <w:bookmarkStart w:id="897" w:name="_Toc150480797"/>
            <w:r/>
            <w:bookmarkStart w:id="898" w:name="_Toc226309805"/>
            <w:r/>
            <w:bookmarkStart w:id="899" w:name="_Toc195842926"/>
            <w:r/>
            <w:bookmarkStart w:id="900" w:name="_Toc226965834"/>
            <w:r/>
            <w:bookmarkStart w:id="901" w:name="_Toc142311061"/>
            <w:r/>
            <w:bookmarkStart w:id="902" w:name="_Toc127151561"/>
            <w:r/>
            <w:bookmarkStart w:id="903" w:name="_Toc150774764"/>
            <w:r/>
            <w:bookmarkStart w:id="904" w:name="_Toc226965751"/>
            <w:r/>
            <w:bookmarkStart w:id="905" w:name="_Toc265228399"/>
            <w:r/>
            <w:bookmarkStart w:id="906" w:name="_Toc305158903"/>
            <w:r>
              <w:rPr>
                <w:rFonts w:hint="eastAsia" w:ascii="宋体" w:hAnsi="宋体" w:cs="Arial"/>
                <w:color w:val="000000"/>
                <w:sz w:val="24"/>
              </w:rPr>
              <w:t xml:space="preserve">本采购包中提供的符合本国产品标准的产品成本之和占该采购包提供的全部产品成本之和的比例为***%。</w:t>
            </w:r>
            <w:r>
              <w:rPr>
                <w:rFonts w:ascii="宋体" w:hAnsi="宋体" w:cs="Arial"/>
                <w:color w:val="000000"/>
                <w:sz w:val="24"/>
              </w:rPr>
            </w:r>
            <w:r/>
          </w:p>
        </w:tc>
      </w:tr>
    </w:tbl>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2"/>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2"/>
        <w:ind w:firstLine="480"/>
        <w:jc w:val="left"/>
        <w:tabs>
          <w:tab w:val="left" w:pos="1800" w:leader="none"/>
          <w:tab w:val="left" w:pos="55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4.上述各项的服务内容如表</w:t>
      </w:r>
      <w:r>
        <w:rPr>
          <w:rFonts w:hint="eastAsia" w:ascii="宋体" w:hAnsi="宋体" w:eastAsia="宋体" w:cs="Times New Roman"/>
          <w:color w:val="000000"/>
          <w:sz w:val="24"/>
        </w:rPr>
        <w:t xml:space="preserve">格中填写不下的，可以逐项另页描述。</w:t>
      </w:r>
      <w:r>
        <w:rPr>
          <w:rFonts w:hint="eastAsia" w:ascii="宋体" w:hAnsi="宋体" w:eastAsia="宋体" w:cs="Times New Roman"/>
          <w:color w:val="000000"/>
          <w:sz w:val="24"/>
        </w:rPr>
      </w:r>
      <w:r/>
    </w:p>
    <w:p>
      <w:pPr>
        <w:pStyle w:val="1072"/>
        <w:ind w:firstLine="480"/>
        <w:jc w:val="left"/>
        <w:tabs>
          <w:tab w:val="left" w:pos="1800" w:leader="none"/>
          <w:tab w:val="left" w:pos="5580" w:leader="none"/>
        </w:tabs>
        <w:rPr>
          <w:rFonts w:ascii="宋体" w:hAnsi="宋体"/>
          <w:color w:val="000000"/>
          <w:sz w:val="24"/>
          <w:lang w:val="zh-CN"/>
        </w:rPr>
      </w:pPr>
      <w:r>
        <w:rPr>
          <w:rFonts w:hint="eastAsia" w:ascii="宋体" w:hAnsi="宋体" w:eastAsia="宋体" w:cs="Times New Roman"/>
          <w:color w:val="000000"/>
          <w:sz w:val="24"/>
        </w:rPr>
        <w:t xml:space="preserve">5.</w:t>
      </w:r>
      <w:r>
        <w:rPr>
          <w:rFonts w:hint="eastAsia" w:ascii="宋体" w:hAnsi="宋体" w:eastAsia="宋体" w:cs="Times New Roman"/>
          <w:color w:val="000000"/>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rPr>
      </w:pPr>
      <w:r>
        <w:rPr>
          <w:rFonts w:ascii="宋体" w:hAnsi="宋体"/>
          <w:color w:val="000000"/>
          <w:sz w:val="24"/>
        </w:rPr>
      </w:r>
      <w:r/>
    </w:p>
    <w:p>
      <w:pPr>
        <w:pStyle w:val="1072"/>
        <w:spacing w:before="25" w:after="25" w:line="360" w:lineRule="auto"/>
        <w:rPr>
          <w:rFonts w:ascii="宋体" w:hAnsi="宋体"/>
          <w:color w:val="000000"/>
          <w:sz w:val="24"/>
        </w:rPr>
      </w:pP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rPr>
          <w:rFonts w:ascii="宋体" w:hAnsi="宋体"/>
          <w:b/>
          <w:color w:val="000000"/>
          <w:sz w:val="24"/>
          <w:szCs w:val="20"/>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rPr>
        <w:t xml:space="preserve">采购需求偏离表（实质性格式）</w:t>
      </w:r>
      <w:r>
        <w:rPr>
          <w:rFonts w:ascii="宋体" w:hAnsi="宋体"/>
          <w:b/>
          <w:color w:val="000000"/>
          <w:sz w:val="24"/>
          <w:szCs w:val="20"/>
        </w:rPr>
      </w:r>
      <w:r/>
    </w:p>
    <w:p>
      <w:pPr>
        <w:pStyle w:val="1072"/>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2"/>
        <w:jc w:val="center"/>
        <w:spacing w:before="240" w:after="240" w:line="360" w:lineRule="auto"/>
        <w:rPr>
          <w:rFonts w:ascii="宋体" w:hAnsi="宋体"/>
          <w:b/>
          <w:bCs/>
          <w:color w:val="000000"/>
          <w:sz w:val="36"/>
          <w:szCs w:val="36"/>
        </w:rPr>
      </w:pPr>
      <w:r>
        <w:rPr>
          <w:rFonts w:ascii="宋体" w:hAnsi="宋体"/>
          <w:b/>
          <w:bCs/>
          <w:color w:val="000000"/>
          <w:sz w:val="36"/>
          <w:szCs w:val="36"/>
        </w:rPr>
        <w:t xml:space="preserve">中小企业声明函（服务）格式</w:t>
      </w:r>
      <w:r>
        <w:rPr>
          <w:rFonts w:ascii="宋体" w:hAnsi="宋体"/>
          <w:b/>
          <w:bCs/>
          <w:color w:val="000000"/>
          <w:sz w:val="36"/>
          <w:szCs w:val="36"/>
        </w:rPr>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rPr>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2"/>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2"/>
        <w:jc w:val="left"/>
        <w:rPr>
          <w:rFonts w:ascii="宋体" w:hAnsi="宋体"/>
          <w:color w:val="000000"/>
          <w:szCs w:val="21"/>
          <w:vertAlign w:val="superscript"/>
        </w:rPr>
      </w:pPr>
      <w:r>
        <w:rPr>
          <w:rFonts w:ascii="宋体" w:hAnsi="宋体"/>
          <w:color w:val="000000"/>
          <w:szCs w:val="21"/>
          <w:vertAlign w:val="superscript"/>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jc w:val="center"/>
        <w:spacing w:before="240" w:after="240" w:line="360" w:lineRule="auto"/>
        <w:rPr>
          <w:rFonts w:ascii="宋体" w:hAnsi="宋体"/>
          <w:color w:val="000000"/>
          <w:sz w:val="36"/>
          <w:szCs w:val="36"/>
        </w:rPr>
      </w:pPr>
      <w:r>
        <w:rPr>
          <w:rFonts w:ascii="宋体" w:hAnsi="宋体"/>
          <w:b/>
          <w:bCs/>
          <w:color w:val="000000"/>
          <w:sz w:val="36"/>
          <w:szCs w:val="36"/>
        </w:rPr>
        <w:br w:type="page" w:clear="all"/>
      </w: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2"/>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2"/>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10  关于符合本国产品标</w:t>
      </w:r>
      <w:r>
        <w:rPr>
          <w:rFonts w:hint="eastAsia" w:ascii="宋体" w:hAnsi="宋体"/>
          <w:b/>
          <w:color w:val="000000"/>
          <w:sz w:val="24"/>
          <w:szCs w:val="20"/>
        </w:rPr>
        <w:t xml:space="preserve">准的声明函</w:t>
      </w:r>
      <w:r>
        <w:rPr>
          <w:rFonts w:hint="eastAsia" w:ascii="方正魏碑_GBK" w:hAnsi="方正魏碑_GBK" w:eastAsia="方正魏碑_GBK" w:cs="方正魏碑_GBK"/>
          <w:b/>
          <w:color w:val="000000"/>
          <w:sz w:val="24"/>
        </w:rPr>
        <w:t xml:space="preserve">（采购包号：**）</w:t>
      </w:r>
      <w:r>
        <w:rPr>
          <w:rFonts w:ascii="宋体" w:hAnsi="宋体"/>
          <w:color w:val="000000"/>
          <w:sz w:val="24"/>
          <w:szCs w:val="20"/>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146"/>
          <w:rFonts w:hint="eastAsia" w:ascii="方正魏碑_GBK" w:hAnsi="方正魏碑_GBK" w:eastAsia="方正魏碑_GBK" w:cs="方正魏碑_GBK"/>
          <w:color w:val="000000"/>
          <w:u w:val="single"/>
          <w:shd w:val="clear" w:color="auto" w:fill="ffffff"/>
        </w:rPr>
        <w:t xml:space="preserve">（产品名称1）</w:t>
      </w:r>
      <w:r>
        <w:rPr>
          <w:rStyle w:val="114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Style w:val="114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14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Style w:val="114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w:t>
      </w:r>
      <w:r>
        <w:rPr>
          <w:rStyle w:val="1146"/>
          <w:rFonts w:hint="eastAsia" w:ascii="方正魏碑_GBK" w:hAnsi="方正魏碑_GBK" w:eastAsia="方正魏碑_GBK" w:cs="方正魏碑_GBK"/>
          <w:color w:val="000000"/>
          <w:u w:val="single"/>
          <w:shd w:val="clear" w:color="auto" w:fill="ffffff"/>
          <w:lang w:val="en-US" w:eastAsia="zh-CN"/>
        </w:rPr>
        <w:t xml:space="preserve">2</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133"/>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133"/>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133"/>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072"/>
        <w:rPr>
          <w:rFonts w:ascii="方正魏碑_GBK" w:hAnsi="方正魏碑_GBK" w:eastAsia="方正魏碑_GBK" w:cs="方正魏碑_GBK"/>
          <w:color w:val="ff0000"/>
        </w:rPr>
      </w:pPr>
      <w:r>
        <w:rPr>
          <w:rFonts w:hint="eastAsia" w:ascii="宋体" w:hAnsi="宋体"/>
          <w:b/>
          <w:color w:val="000000"/>
          <w:sz w:val="24"/>
        </w:rPr>
        <w:br w:type="page" w:clear="all"/>
      </w:r>
      <w:r>
        <w:rPr>
          <w:rFonts w:ascii="方正魏碑_GBK" w:hAnsi="方正魏碑_GBK" w:eastAsia="方正魏碑_GBK" w:cs="方正魏碑_GBK"/>
          <w:color w:val="ff0000"/>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11</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12  参加本项目人员一览表</w:t>
      </w:r>
      <w:r>
        <w:rPr>
          <w:rFonts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color w:val="000000"/>
          <w:sz w:val="24"/>
        </w:rPr>
        <w:t xml:space="preserve">13  相关业绩案例一览表</w:t>
      </w:r>
      <w:r>
        <w:rPr>
          <w:rFonts w:ascii="宋体" w:hAnsi="宋体"/>
          <w:b/>
          <w:color w:val="000000"/>
          <w:sz w:val="24"/>
          <w:szCs w:val="20"/>
        </w:rPr>
      </w:r>
      <w:r/>
    </w:p>
    <w:p>
      <w:pPr>
        <w:pStyle w:val="1072"/>
        <w:rPr>
          <w:rFonts w:ascii="宋体" w:hAnsi="宋体"/>
          <w:color w:val="000000"/>
          <w:sz w:val="24"/>
          <w:szCs w:val="20"/>
        </w:rPr>
      </w:pPr>
      <w:r>
        <w:rPr>
          <w:rFonts w:ascii="宋体" w:hAnsi="宋体"/>
          <w:color w:val="000000"/>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hint="eastAsia" w:ascii="宋体" w:hAnsi="宋体"/>
          <w:b/>
          <w:color w:val="000000"/>
          <w:sz w:val="24"/>
          <w:lang w:val="en-US" w:eastAsia="zh-CN"/>
        </w:rPr>
        <w:outlineLvl w:val="2"/>
      </w:pPr>
      <w:r>
        <w:rPr>
          <w:rFonts w:hint="eastAsia" w:ascii="宋体" w:hAnsi="宋体"/>
          <w:b/>
          <w:color w:val="000000"/>
          <w:sz w:val="24"/>
          <w:lang w:val="en-US" w:eastAsia="zh-CN"/>
        </w:rPr>
      </w:r>
      <w:r/>
    </w:p>
    <w:p>
      <w:pPr>
        <w:pStyle w:val="1072"/>
        <w:spacing w:line="360" w:lineRule="auto"/>
        <w:rPr>
          <w:rFonts w:hint="eastAsia" w:ascii="宋体" w:hAnsi="宋体"/>
          <w:b/>
          <w:color w:val="000000"/>
          <w:sz w:val="24"/>
          <w:lang w:val="en-US" w:eastAsia="zh-CN"/>
        </w:rPr>
        <w:outlineLvl w:val="2"/>
      </w:pPr>
      <w:r>
        <w:rPr>
          <w:rFonts w:hint="eastAsia" w:ascii="宋体" w:hAnsi="宋体"/>
          <w:b/>
          <w:color w:val="000000"/>
          <w:sz w:val="24"/>
          <w:lang w:val="en-US" w:eastAsia="zh-CN"/>
        </w:rPr>
      </w:r>
      <w:r/>
    </w:p>
    <w:p>
      <w:pPr>
        <w:pStyle w:val="1072"/>
        <w:spacing w:line="360" w:lineRule="auto"/>
        <w:rPr>
          <w:rFonts w:ascii="宋体" w:hAnsi="宋体"/>
          <w:b/>
          <w:color w:val="000000"/>
          <w:sz w:val="24"/>
          <w:szCs w:val="20"/>
        </w:rPr>
        <w:outlineLvl w:val="2"/>
      </w:pP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4</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2"/>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2"/>
      </w:pPr>
    </w:lvl>
    <w:lvl w:ilvl="1">
      <w:start w:val="1"/>
      <w:numFmt w:val="decimal"/>
      <w:isLgl w:val="false"/>
      <w:suff w:val="nothing"/>
      <w:lvlText w:val=""/>
      <w:lvlJc w:val="left"/>
      <w:pPr>
        <w:pStyle w:val="1072"/>
      </w:pPr>
    </w:lvl>
    <w:lvl w:ilvl="2">
      <w:start w:val="1"/>
      <w:numFmt w:val="decimal"/>
      <w:isLgl w:val="false"/>
      <w:suff w:val="nothing"/>
      <w:lvlText w:val=""/>
      <w:lvlJc w:val="left"/>
      <w:pPr>
        <w:pStyle w:val="1072"/>
      </w:pPr>
    </w:lvl>
    <w:lvl w:ilvl="3">
      <w:start w:val="1"/>
      <w:numFmt w:val="decimal"/>
      <w:isLgl w:val="false"/>
      <w:suff w:val="nothing"/>
      <w:lvlText w:val=""/>
      <w:lvlJc w:val="left"/>
      <w:pPr>
        <w:pStyle w:val="1072"/>
      </w:pPr>
    </w:lvl>
    <w:lvl w:ilvl="4">
      <w:start w:val="1"/>
      <w:numFmt w:val="decimal"/>
      <w:isLgl w:val="false"/>
      <w:suff w:val="nothing"/>
      <w:lvlText w:val=""/>
      <w:lvlJc w:val="left"/>
      <w:pPr>
        <w:pStyle w:val="1072"/>
      </w:pPr>
    </w:lvl>
    <w:lvl w:ilvl="5">
      <w:start w:val="1"/>
      <w:numFmt w:val="decimal"/>
      <w:isLgl w:val="false"/>
      <w:suff w:val="nothing"/>
      <w:lvlText w:val=""/>
      <w:lvlJc w:val="left"/>
      <w:pPr>
        <w:pStyle w:val="1072"/>
      </w:pPr>
    </w:lvl>
    <w:lvl w:ilvl="6">
      <w:start w:val="1"/>
      <w:numFmt w:val="decimal"/>
      <w:isLgl w:val="false"/>
      <w:suff w:val="nothing"/>
      <w:lvlText w:val=""/>
      <w:lvlJc w:val="left"/>
      <w:pPr>
        <w:pStyle w:val="1072"/>
      </w:pPr>
    </w:lvl>
    <w:lvl w:ilvl="7">
      <w:start w:val="1"/>
      <w:numFmt w:val="decimal"/>
      <w:isLgl w:val="false"/>
      <w:suff w:val="nothing"/>
      <w:lvlText w:val=""/>
      <w:lvlJc w:val="left"/>
      <w:pPr>
        <w:pStyle w:val="1072"/>
      </w:pPr>
    </w:lvl>
    <w:lvl w:ilvl="8">
      <w:start w:val="1"/>
      <w:numFmt w:val="decimal"/>
      <w:isLgl w:val="false"/>
      <w:suff w:val="nothing"/>
      <w:lvlText w:val=""/>
      <w:lvlJc w:val="left"/>
      <w:pPr>
        <w:pStyle w:val="1072"/>
      </w:p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12"/>
  </w:num>
  <w:num w:numId="10">
    <w:abstractNumId w:val="0"/>
  </w:num>
  <w:num w:numId="11">
    <w:abstractNumId w:val="13"/>
  </w:num>
  <w:num w:numId="12">
    <w:abstractNumId w:val="11"/>
  </w:num>
  <w:num w:numId="13">
    <w:abstractNumId w:val="14"/>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2026-05-11T08:12:24Z</dcterms:modified>
</cp:coreProperties>
</file>